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A9B0" w14:textId="77777777" w:rsidR="00A6698C" w:rsidRPr="00A6698C" w:rsidRDefault="00A6698C" w:rsidP="00A6698C">
      <w:pPr>
        <w:jc w:val="center"/>
        <w:rPr>
          <w:bCs/>
          <w:color w:val="000000" w:themeColor="text1"/>
          <w:sz w:val="24"/>
          <w:szCs w:val="24"/>
          <w:lang w:val="en-US"/>
        </w:rPr>
      </w:pPr>
      <w:r w:rsidRPr="00A6698C">
        <w:rPr>
          <w:b/>
          <w:bCs/>
          <w:color w:val="000000" w:themeColor="text1"/>
          <w:sz w:val="28"/>
          <w:szCs w:val="28"/>
        </w:rPr>
        <w:t>Third party copyright material in your thesis</w:t>
      </w:r>
    </w:p>
    <w:p w14:paraId="5699B807" w14:textId="77777777" w:rsidR="00A6698C" w:rsidRDefault="00A6698C" w:rsidP="00A6698C">
      <w:pPr>
        <w:tabs>
          <w:tab w:val="left" w:pos="284"/>
        </w:tabs>
        <w:spacing w:before="120"/>
        <w:rPr>
          <w:sz w:val="22"/>
          <w:szCs w:val="22"/>
          <w:lang w:val="en-GB"/>
        </w:rPr>
      </w:pPr>
      <w:r>
        <w:rPr>
          <w:sz w:val="22"/>
          <w:szCs w:val="22"/>
          <w:lang w:val="en-GB"/>
        </w:rPr>
        <w:t>1.</w:t>
      </w:r>
      <w:r>
        <w:rPr>
          <w:sz w:val="22"/>
          <w:szCs w:val="22"/>
          <w:lang w:val="en-GB"/>
        </w:rPr>
        <w:tab/>
        <w:t xml:space="preserve">You must acknowledge and cite any </w:t>
      </w:r>
      <w:proofErr w:type="gramStart"/>
      <w:r>
        <w:rPr>
          <w:sz w:val="22"/>
          <w:szCs w:val="22"/>
          <w:lang w:val="en-GB"/>
        </w:rPr>
        <w:t>third party</w:t>
      </w:r>
      <w:proofErr w:type="gramEnd"/>
      <w:r>
        <w:rPr>
          <w:sz w:val="22"/>
          <w:szCs w:val="22"/>
          <w:lang w:val="en-GB"/>
        </w:rPr>
        <w:t xml:space="preserve"> copyright material that you reuse in your thesis.</w:t>
      </w:r>
    </w:p>
    <w:p w14:paraId="6235BE61" w14:textId="77777777" w:rsidR="00A6698C" w:rsidRDefault="00A6698C" w:rsidP="00A6698C">
      <w:pPr>
        <w:tabs>
          <w:tab w:val="left" w:pos="284"/>
        </w:tabs>
        <w:spacing w:before="120"/>
        <w:rPr>
          <w:sz w:val="22"/>
          <w:szCs w:val="22"/>
          <w:lang w:val="en-GB"/>
        </w:rPr>
      </w:pPr>
      <w:r>
        <w:rPr>
          <w:sz w:val="22"/>
          <w:szCs w:val="22"/>
          <w:lang w:val="en-GB"/>
        </w:rPr>
        <w:t>2.</w:t>
      </w:r>
      <w:r>
        <w:rPr>
          <w:sz w:val="22"/>
          <w:szCs w:val="22"/>
          <w:lang w:val="en-GB"/>
        </w:rPr>
        <w:tab/>
        <w:t xml:space="preserve">You may reuse any </w:t>
      </w:r>
      <w:proofErr w:type="gramStart"/>
      <w:r>
        <w:rPr>
          <w:sz w:val="22"/>
          <w:szCs w:val="22"/>
          <w:lang w:val="en-GB"/>
        </w:rPr>
        <w:t>third party</w:t>
      </w:r>
      <w:proofErr w:type="gramEnd"/>
      <w:r>
        <w:rPr>
          <w:sz w:val="22"/>
          <w:szCs w:val="22"/>
          <w:lang w:val="en-GB"/>
        </w:rPr>
        <w:t xml:space="preserve"> copyright material which is not a ‘substantial’ part of a work without permission from the copyright-owner: but note that ‘substantial’ is not defined in English law, and may be interpreted qualitatively as well as quantitatively.</w:t>
      </w:r>
    </w:p>
    <w:p w14:paraId="42D58746" w14:textId="77777777" w:rsidR="00D41F71" w:rsidRDefault="00D41F71" w:rsidP="005E1C2A">
      <w:pPr>
        <w:spacing w:before="100" w:beforeAutospacing="1" w:after="100" w:afterAutospacing="1"/>
        <w:rPr>
          <w:sz w:val="22"/>
          <w:szCs w:val="22"/>
          <w:lang w:val="en-GB"/>
        </w:rPr>
      </w:pPr>
      <w:r>
        <w:rPr>
          <w:sz w:val="22"/>
          <w:szCs w:val="22"/>
          <w:lang w:val="en-GB"/>
        </w:rPr>
        <w:t xml:space="preserve">3. </w:t>
      </w:r>
      <w:r w:rsidR="00A6698C">
        <w:rPr>
          <w:sz w:val="22"/>
          <w:szCs w:val="22"/>
          <w:lang w:val="en-GB"/>
        </w:rPr>
        <w:t xml:space="preserve">You may also reuse a ‘substantial’ part of a work without permission from the copyright-owner, but only on certain conditions.  Section 32 of the </w:t>
      </w:r>
      <w:hyperlink r:id="rId7" w:history="1">
        <w:r w:rsidR="00A6698C">
          <w:rPr>
            <w:rStyle w:val="Hyperlink"/>
            <w:sz w:val="22"/>
            <w:szCs w:val="22"/>
            <w:lang w:val="en-GB"/>
          </w:rPr>
          <w:t>Copyright Design and Patents Act (CDPA) 1988</w:t>
        </w:r>
      </w:hyperlink>
      <w:r w:rsidR="00A6698C">
        <w:rPr>
          <w:sz w:val="22"/>
          <w:szCs w:val="22"/>
          <w:lang w:val="en-GB"/>
        </w:rPr>
        <w:t xml:space="preserve"> allows you to reuse material for the purpose of “illustration for instruction”; this includes examinations, and examinations in turn are taken to include examined doctoral theses.  The law says that you must ‘deal fairly’ with material when you reuse it for this purpose</w:t>
      </w:r>
      <w:r w:rsidR="005E1C2A">
        <w:rPr>
          <w:sz w:val="22"/>
          <w:szCs w:val="22"/>
          <w:lang w:val="en-GB"/>
        </w:rPr>
        <w:t xml:space="preserve"> which requires a certain amount of judgement on your part</w:t>
      </w:r>
      <w:r w:rsidR="00A6698C">
        <w:rPr>
          <w:sz w:val="22"/>
          <w:szCs w:val="22"/>
          <w:lang w:val="en-GB"/>
        </w:rPr>
        <w:t>.</w:t>
      </w:r>
      <w:r>
        <w:rPr>
          <w:sz w:val="22"/>
          <w:szCs w:val="22"/>
          <w:lang w:val="en-GB"/>
        </w:rPr>
        <w:t xml:space="preserve">  </w:t>
      </w:r>
      <w:r w:rsidR="005E1C2A">
        <w:rPr>
          <w:sz w:val="22"/>
          <w:szCs w:val="22"/>
          <w:lang w:val="en-GB"/>
        </w:rPr>
        <w:t xml:space="preserve">However, to help </w:t>
      </w:r>
      <w:r>
        <w:rPr>
          <w:sz w:val="22"/>
          <w:szCs w:val="22"/>
          <w:lang w:val="en-GB"/>
        </w:rPr>
        <w:t>qualify for fair dealing you must</w:t>
      </w:r>
      <w:r w:rsidR="005E1C2A">
        <w:rPr>
          <w:sz w:val="22"/>
          <w:szCs w:val="22"/>
          <w:lang w:val="en-GB"/>
        </w:rPr>
        <w:t xml:space="preserve"> satisfy the following criteria</w:t>
      </w:r>
      <w:r>
        <w:rPr>
          <w:sz w:val="22"/>
          <w:szCs w:val="22"/>
          <w:lang w:val="en-GB"/>
        </w:rPr>
        <w:t xml:space="preserve">: </w:t>
      </w:r>
    </w:p>
    <w:p w14:paraId="14B361D2" w14:textId="77777777" w:rsidR="0041031C" w:rsidRPr="00D41F71" w:rsidRDefault="0041031C" w:rsidP="0041031C">
      <w:pPr>
        <w:numPr>
          <w:ilvl w:val="0"/>
          <w:numId w:val="5"/>
        </w:numPr>
        <w:spacing w:before="100" w:beforeAutospacing="1" w:after="100" w:afterAutospacing="1"/>
        <w:rPr>
          <w:sz w:val="22"/>
          <w:szCs w:val="22"/>
          <w:lang w:val="en-GB"/>
        </w:rPr>
      </w:pPr>
      <w:r w:rsidRPr="00D41F71">
        <w:rPr>
          <w:sz w:val="22"/>
          <w:szCs w:val="22"/>
          <w:lang w:val="en-GB"/>
        </w:rPr>
        <w:t xml:space="preserve">ensure </w:t>
      </w:r>
      <w:r w:rsidRPr="005E1C2A">
        <w:rPr>
          <w:sz w:val="22"/>
          <w:szCs w:val="22"/>
          <w:lang w:val="en-GB"/>
        </w:rPr>
        <w:t>the work is used for non-commercial purposes;</w:t>
      </w:r>
    </w:p>
    <w:p w14:paraId="40BC8384" w14:textId="77777777" w:rsidR="0041031C" w:rsidRPr="005E1C2A" w:rsidRDefault="00D41F71" w:rsidP="0041031C">
      <w:pPr>
        <w:pStyle w:val="ListParagraph"/>
        <w:numPr>
          <w:ilvl w:val="0"/>
          <w:numId w:val="5"/>
        </w:numPr>
        <w:spacing w:before="100" w:beforeAutospacing="1" w:after="100" w:afterAutospacing="1"/>
        <w:rPr>
          <w:sz w:val="22"/>
          <w:szCs w:val="22"/>
          <w:lang w:val="en-GB"/>
        </w:rPr>
      </w:pPr>
      <w:r w:rsidRPr="005E1C2A">
        <w:rPr>
          <w:sz w:val="22"/>
          <w:szCs w:val="22"/>
          <w:lang w:val="en-GB"/>
        </w:rPr>
        <w:t xml:space="preserve">provide </w:t>
      </w:r>
      <w:proofErr w:type="gramStart"/>
      <w:r w:rsidR="0041031C" w:rsidRPr="005E1C2A">
        <w:rPr>
          <w:sz w:val="22"/>
          <w:szCs w:val="22"/>
          <w:lang w:val="en-GB"/>
        </w:rPr>
        <w:t>sufficient</w:t>
      </w:r>
      <w:proofErr w:type="gramEnd"/>
      <w:r w:rsidR="0041031C" w:rsidRPr="005E1C2A">
        <w:rPr>
          <w:sz w:val="22"/>
          <w:szCs w:val="22"/>
          <w:lang w:val="en-GB"/>
        </w:rPr>
        <w:t xml:space="preserve"> acknowledgement</w:t>
      </w:r>
      <w:r w:rsidRPr="005E1C2A">
        <w:rPr>
          <w:sz w:val="22"/>
          <w:szCs w:val="22"/>
          <w:lang w:val="en-GB"/>
        </w:rPr>
        <w:t>, unless it is impractical to do so</w:t>
      </w:r>
      <w:r w:rsidR="0041031C" w:rsidRPr="005E1C2A">
        <w:rPr>
          <w:sz w:val="22"/>
          <w:szCs w:val="22"/>
          <w:lang w:val="en-GB"/>
        </w:rPr>
        <w:t>;</w:t>
      </w:r>
    </w:p>
    <w:p w14:paraId="1B0E2AB5" w14:textId="77777777" w:rsidR="0041031C" w:rsidRPr="005E1C2A" w:rsidRDefault="00D41F71" w:rsidP="0041031C">
      <w:pPr>
        <w:pStyle w:val="ListParagraph"/>
        <w:numPr>
          <w:ilvl w:val="0"/>
          <w:numId w:val="5"/>
        </w:numPr>
        <w:spacing w:before="100" w:beforeAutospacing="1" w:after="100" w:afterAutospacing="1"/>
        <w:rPr>
          <w:sz w:val="22"/>
          <w:szCs w:val="22"/>
          <w:lang w:val="en-GB"/>
        </w:rPr>
      </w:pPr>
      <w:r w:rsidRPr="005E1C2A">
        <w:rPr>
          <w:sz w:val="22"/>
          <w:szCs w:val="22"/>
          <w:lang w:val="en-GB"/>
        </w:rPr>
        <w:t>ensure the use of the work does not compete with the normal exploitation of it by the rights holder</w:t>
      </w:r>
      <w:r w:rsidR="0041031C" w:rsidRPr="005E1C2A">
        <w:rPr>
          <w:sz w:val="22"/>
          <w:szCs w:val="22"/>
          <w:lang w:val="en-GB"/>
        </w:rPr>
        <w:t>;</w:t>
      </w:r>
    </w:p>
    <w:p w14:paraId="09892DBC" w14:textId="77777777" w:rsidR="00A6698C" w:rsidRPr="005E1C2A" w:rsidRDefault="00D41F71" w:rsidP="0041031C">
      <w:pPr>
        <w:pStyle w:val="ListParagraph"/>
        <w:numPr>
          <w:ilvl w:val="0"/>
          <w:numId w:val="5"/>
        </w:numPr>
        <w:spacing w:before="100" w:beforeAutospacing="1" w:after="100" w:afterAutospacing="1"/>
        <w:rPr>
          <w:sz w:val="22"/>
          <w:szCs w:val="22"/>
          <w:lang w:val="en-GB"/>
        </w:rPr>
      </w:pPr>
      <w:r w:rsidRPr="005E1C2A">
        <w:rPr>
          <w:sz w:val="22"/>
          <w:szCs w:val="22"/>
          <w:lang w:val="en-GB"/>
        </w:rPr>
        <w:t>ensure that the use of the work is not excessive (</w:t>
      </w:r>
      <w:r w:rsidR="005E1C2A" w:rsidRPr="005E1C2A">
        <w:rPr>
          <w:sz w:val="22"/>
          <w:szCs w:val="22"/>
          <w:lang w:val="en-GB"/>
        </w:rPr>
        <w:t>e.g.</w:t>
      </w:r>
      <w:r w:rsidRPr="005E1C2A">
        <w:rPr>
          <w:sz w:val="22"/>
          <w:szCs w:val="22"/>
          <w:lang w:val="en-GB"/>
        </w:rPr>
        <w:t xml:space="preserve"> copying the whole work when only an extract is required)</w:t>
      </w:r>
    </w:p>
    <w:p w14:paraId="6EAC3FD0" w14:textId="185A418C" w:rsidR="00A6698C" w:rsidRDefault="00A6698C" w:rsidP="00A6698C">
      <w:pPr>
        <w:tabs>
          <w:tab w:val="left" w:pos="284"/>
        </w:tabs>
        <w:spacing w:before="120"/>
        <w:rPr>
          <w:sz w:val="22"/>
          <w:szCs w:val="22"/>
          <w:lang w:val="en-GB"/>
        </w:rPr>
      </w:pPr>
      <w:r>
        <w:rPr>
          <w:sz w:val="22"/>
          <w:szCs w:val="22"/>
          <w:lang w:val="en-GB"/>
        </w:rPr>
        <w:t>4.</w:t>
      </w:r>
      <w:r>
        <w:rPr>
          <w:sz w:val="22"/>
          <w:szCs w:val="22"/>
          <w:lang w:val="en-GB"/>
        </w:rPr>
        <w:tab/>
        <w:t xml:space="preserve">If and when you pass your examination, you will be required to deposit an electronic version of your thesis (an e-thesis) in the </w:t>
      </w:r>
      <w:r w:rsidR="00621D5F">
        <w:rPr>
          <w:sz w:val="22"/>
          <w:szCs w:val="22"/>
          <w:lang w:val="en-GB"/>
        </w:rPr>
        <w:t xml:space="preserve">Research </w:t>
      </w:r>
      <w:bookmarkStart w:id="0" w:name="_GoBack"/>
      <w:bookmarkEnd w:id="0"/>
      <w:r>
        <w:rPr>
          <w:sz w:val="22"/>
          <w:szCs w:val="22"/>
          <w:lang w:val="en-GB"/>
        </w:rPr>
        <w:t xml:space="preserve">Repository, which will incorporate any amendments or corrections that your examiners have stipulated.  This version will be made freely available on the internet (by means of a </w:t>
      </w:r>
      <w:hyperlink r:id="rId8" w:history="1">
        <w:r>
          <w:rPr>
            <w:rStyle w:val="Hyperlink"/>
            <w:sz w:val="22"/>
            <w:szCs w:val="22"/>
            <w:lang w:val="en-GB"/>
          </w:rPr>
          <w:t>CC BY-NC-ND licence</w:t>
        </w:r>
      </w:hyperlink>
      <w:r>
        <w:rPr>
          <w:sz w:val="22"/>
          <w:szCs w:val="22"/>
          <w:lang w:val="en-GB"/>
        </w:rPr>
        <w:t xml:space="preserve">).  In order to reuse third party copyright material in your e-thesis, it may be possible for you to rely on Section 30 of the CDPA 1988.  This allows you to reuse material for the purpose of “criticism or review”, again </w:t>
      </w:r>
      <w:proofErr w:type="gramStart"/>
      <w:r>
        <w:rPr>
          <w:sz w:val="22"/>
          <w:szCs w:val="22"/>
          <w:lang w:val="en-GB"/>
        </w:rPr>
        <w:t>provided that</w:t>
      </w:r>
      <w:proofErr w:type="gramEnd"/>
      <w:r>
        <w:rPr>
          <w:sz w:val="22"/>
          <w:szCs w:val="22"/>
          <w:lang w:val="en-GB"/>
        </w:rPr>
        <w:t xml:space="preserve"> you ‘deal fairly’ with the material.  Again, you must judge for yourself what the copyright-owner is likely to regard as ‘fair’ in this context</w:t>
      </w:r>
      <w:r w:rsidR="005E1C2A">
        <w:rPr>
          <w:sz w:val="22"/>
          <w:szCs w:val="22"/>
          <w:lang w:val="en-GB"/>
        </w:rPr>
        <w:t xml:space="preserve"> and satisfy the criteria outlined above in section 3</w:t>
      </w:r>
      <w:r>
        <w:rPr>
          <w:sz w:val="22"/>
          <w:szCs w:val="22"/>
          <w:lang w:val="en-GB"/>
        </w:rPr>
        <w:t>.</w:t>
      </w:r>
    </w:p>
    <w:p w14:paraId="61190971" w14:textId="77777777" w:rsidR="00A6698C" w:rsidRDefault="00A6698C" w:rsidP="00A6698C">
      <w:pPr>
        <w:tabs>
          <w:tab w:val="left" w:pos="284"/>
        </w:tabs>
        <w:spacing w:before="120"/>
        <w:rPr>
          <w:sz w:val="22"/>
          <w:szCs w:val="22"/>
          <w:lang w:val="en-GB"/>
        </w:rPr>
      </w:pPr>
      <w:r>
        <w:rPr>
          <w:sz w:val="22"/>
          <w:szCs w:val="22"/>
          <w:lang w:val="en-GB"/>
        </w:rPr>
        <w:t>5.  Note that what is ‘fair’ for your printed thesis may or may not be ‘fair’ for your e-thesis.  There are two reasons for this:</w:t>
      </w:r>
    </w:p>
    <w:p w14:paraId="188C300F" w14:textId="77777777" w:rsidR="00A6698C" w:rsidRDefault="00A6698C" w:rsidP="00A6698C">
      <w:pPr>
        <w:pStyle w:val="ListParagraph"/>
        <w:numPr>
          <w:ilvl w:val="0"/>
          <w:numId w:val="1"/>
        </w:numPr>
        <w:tabs>
          <w:tab w:val="left" w:pos="284"/>
        </w:tabs>
        <w:spacing w:before="120"/>
        <w:rPr>
          <w:sz w:val="22"/>
          <w:szCs w:val="22"/>
          <w:lang w:val="en-GB"/>
        </w:rPr>
      </w:pPr>
      <w:r>
        <w:rPr>
          <w:sz w:val="22"/>
          <w:szCs w:val="22"/>
          <w:lang w:val="en-GB"/>
        </w:rPr>
        <w:t>in your printed thesis you are only copying material, whereas in your e-thesis you are both copying it and communicating it to the public by means of the internet;</w:t>
      </w:r>
    </w:p>
    <w:p w14:paraId="551C7A87" w14:textId="77777777" w:rsidR="00A6698C" w:rsidRDefault="00A6698C" w:rsidP="00A6698C">
      <w:pPr>
        <w:pStyle w:val="ListParagraph"/>
        <w:numPr>
          <w:ilvl w:val="0"/>
          <w:numId w:val="1"/>
        </w:numPr>
        <w:tabs>
          <w:tab w:val="left" w:pos="284"/>
        </w:tabs>
        <w:spacing w:before="120"/>
        <w:rPr>
          <w:sz w:val="22"/>
          <w:szCs w:val="22"/>
          <w:lang w:val="en-GB"/>
        </w:rPr>
      </w:pPr>
      <w:r>
        <w:rPr>
          <w:sz w:val="22"/>
          <w:szCs w:val="22"/>
          <w:lang w:val="en-GB"/>
        </w:rPr>
        <w:t>in your printed thesis you are reusing the material for “illustration for instruction”, whereas in your e-thesis you are reusing it for “criticism or review”.</w:t>
      </w:r>
    </w:p>
    <w:p w14:paraId="40956708" w14:textId="77777777" w:rsidR="00A6698C" w:rsidRDefault="00A6698C" w:rsidP="00A6698C">
      <w:pPr>
        <w:tabs>
          <w:tab w:val="left" w:pos="284"/>
        </w:tabs>
        <w:spacing w:before="120"/>
        <w:rPr>
          <w:sz w:val="22"/>
          <w:szCs w:val="22"/>
          <w:lang w:val="en-GB"/>
        </w:rPr>
      </w:pPr>
      <w:r>
        <w:rPr>
          <w:sz w:val="22"/>
          <w:szCs w:val="22"/>
          <w:lang w:val="en-GB"/>
        </w:rPr>
        <w:t>The ‘fairness’ or otherwise of how you reuse material is judged according to what you do with the material and why.</w:t>
      </w:r>
    </w:p>
    <w:p w14:paraId="3E9E7D84" w14:textId="77777777" w:rsidR="00A6698C" w:rsidRDefault="00A6698C" w:rsidP="00A6698C">
      <w:pPr>
        <w:tabs>
          <w:tab w:val="left" w:pos="284"/>
        </w:tabs>
        <w:spacing w:before="120"/>
        <w:rPr>
          <w:sz w:val="22"/>
          <w:szCs w:val="22"/>
          <w:lang w:val="en-GB"/>
        </w:rPr>
      </w:pPr>
      <w:r>
        <w:rPr>
          <w:sz w:val="22"/>
          <w:szCs w:val="22"/>
          <w:lang w:val="en-GB"/>
        </w:rPr>
        <w:t>6.</w:t>
      </w:r>
      <w:r>
        <w:rPr>
          <w:sz w:val="22"/>
          <w:szCs w:val="22"/>
          <w:lang w:val="en-GB"/>
        </w:rPr>
        <w:tab/>
        <w:t>If you wish to reuse material in a way which is not covered by Sections 30 or 32 of the CDPA 1988, you must get permission from the copyright owner.  You may well need permission to reuse the following:</w:t>
      </w:r>
    </w:p>
    <w:p w14:paraId="61420219"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long quotations;</w:t>
      </w:r>
    </w:p>
    <w:p w14:paraId="3C576E6C"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tables;</w:t>
      </w:r>
    </w:p>
    <w:p w14:paraId="0133E9F3"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figures, such as diagrams, graphs and charts;</w:t>
      </w:r>
    </w:p>
    <w:p w14:paraId="3FA2B20B"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photographs;</w:t>
      </w:r>
    </w:p>
    <w:p w14:paraId="5F9534A0"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maps;</w:t>
      </w:r>
    </w:p>
    <w:p w14:paraId="7A10C140"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artistic works, such as paintings and sketches;</w:t>
      </w:r>
    </w:p>
    <w:p w14:paraId="6FD2C05D" w14:textId="77777777" w:rsidR="00A6698C" w:rsidRDefault="00A6698C" w:rsidP="00A6698C">
      <w:pPr>
        <w:pStyle w:val="ListParagraph"/>
        <w:numPr>
          <w:ilvl w:val="1"/>
          <w:numId w:val="2"/>
        </w:numPr>
        <w:spacing w:before="120"/>
        <w:ind w:left="426"/>
        <w:rPr>
          <w:sz w:val="22"/>
          <w:szCs w:val="22"/>
          <w:lang w:val="en-GB"/>
        </w:rPr>
      </w:pPr>
      <w:r>
        <w:rPr>
          <w:sz w:val="22"/>
          <w:szCs w:val="22"/>
          <w:lang w:val="en-GB"/>
        </w:rPr>
        <w:t>printed music;</w:t>
      </w:r>
    </w:p>
    <w:p w14:paraId="032AA367" w14:textId="77777777" w:rsidR="00A6698C" w:rsidRDefault="00A6698C" w:rsidP="00953B14">
      <w:pPr>
        <w:pStyle w:val="ListParagraph"/>
        <w:numPr>
          <w:ilvl w:val="1"/>
          <w:numId w:val="2"/>
        </w:numPr>
        <w:spacing w:before="120"/>
        <w:ind w:left="426"/>
        <w:rPr>
          <w:sz w:val="22"/>
          <w:szCs w:val="22"/>
          <w:lang w:val="en-GB"/>
        </w:rPr>
      </w:pPr>
      <w:r>
        <w:rPr>
          <w:sz w:val="22"/>
          <w:szCs w:val="22"/>
          <w:lang w:val="en-GB"/>
        </w:rPr>
        <w:t>audio or video recordings.</w:t>
      </w:r>
    </w:p>
    <w:p w14:paraId="15CB6463" w14:textId="77777777" w:rsidR="00A6698C" w:rsidRDefault="00A6698C" w:rsidP="00A6698C">
      <w:pPr>
        <w:tabs>
          <w:tab w:val="left" w:pos="284"/>
        </w:tabs>
        <w:spacing w:before="120"/>
        <w:rPr>
          <w:sz w:val="22"/>
          <w:szCs w:val="22"/>
          <w:lang w:val="en-GB"/>
        </w:rPr>
      </w:pPr>
      <w:r>
        <w:rPr>
          <w:sz w:val="22"/>
          <w:szCs w:val="22"/>
          <w:lang w:val="en-GB"/>
        </w:rPr>
        <w:lastRenderedPageBreak/>
        <w:t>7.</w:t>
      </w:r>
      <w:r>
        <w:rPr>
          <w:sz w:val="22"/>
          <w:szCs w:val="22"/>
          <w:lang w:val="en-GB"/>
        </w:rPr>
        <w:tab/>
        <w:t>If you have already published part of your thesis (e.g. in a journal), you may have assigned copyright in it to the publisher.  In this case you may need to get permission from the publisher to reuse your own work.</w:t>
      </w:r>
    </w:p>
    <w:p w14:paraId="36D6E5C3" w14:textId="77777777" w:rsidR="00A6698C" w:rsidRDefault="00A6698C" w:rsidP="00A6698C">
      <w:pPr>
        <w:tabs>
          <w:tab w:val="left" w:pos="284"/>
        </w:tabs>
        <w:spacing w:before="120"/>
        <w:rPr>
          <w:sz w:val="22"/>
          <w:szCs w:val="22"/>
          <w:lang w:val="en-GB"/>
        </w:rPr>
      </w:pPr>
      <w:r>
        <w:rPr>
          <w:sz w:val="22"/>
          <w:szCs w:val="22"/>
          <w:lang w:val="en-GB"/>
        </w:rPr>
        <w:t>8.</w:t>
      </w:r>
      <w:r>
        <w:rPr>
          <w:sz w:val="22"/>
          <w:szCs w:val="22"/>
          <w:lang w:val="en-GB"/>
        </w:rPr>
        <w:tab/>
        <w:t>If you would like any help or advice about reusing third party copyright material in your thesis, please contact the University Copyright Advisor</w:t>
      </w:r>
      <w:r w:rsidR="00941845">
        <w:rPr>
          <w:sz w:val="22"/>
          <w:szCs w:val="22"/>
          <w:lang w:val="en-GB"/>
        </w:rPr>
        <w:t>s</w:t>
      </w:r>
      <w:r>
        <w:rPr>
          <w:sz w:val="22"/>
          <w:szCs w:val="22"/>
          <w:lang w:val="en-GB"/>
        </w:rPr>
        <w:t>:</w:t>
      </w:r>
    </w:p>
    <w:p w14:paraId="6D39325E" w14:textId="77777777" w:rsidR="00A6698C" w:rsidRDefault="00A6698C" w:rsidP="00A6698C">
      <w:pPr>
        <w:spacing w:before="120"/>
        <w:rPr>
          <w:sz w:val="22"/>
          <w:szCs w:val="22"/>
          <w:lang w:val="en-GB"/>
        </w:rPr>
      </w:pPr>
      <w:r>
        <w:rPr>
          <w:sz w:val="22"/>
          <w:szCs w:val="22"/>
          <w:lang w:val="en-GB"/>
        </w:rPr>
        <w:t xml:space="preserve">E-mail:  </w:t>
      </w:r>
      <w:hyperlink r:id="rId9" w:history="1">
        <w:r>
          <w:rPr>
            <w:rStyle w:val="Hyperlink"/>
            <w:sz w:val="22"/>
            <w:szCs w:val="22"/>
            <w:lang w:val="en-GB"/>
          </w:rPr>
          <w:t>copyright@lboro.ac.uk</w:t>
        </w:r>
      </w:hyperlink>
      <w:r>
        <w:rPr>
          <w:sz w:val="22"/>
          <w:szCs w:val="22"/>
          <w:lang w:val="en-GB"/>
        </w:rPr>
        <w:t>;</w:t>
      </w:r>
    </w:p>
    <w:p w14:paraId="464E39C2" w14:textId="77777777" w:rsidR="0031443C" w:rsidRDefault="00941845" w:rsidP="00A6698C">
      <w:pPr>
        <w:rPr>
          <w:sz w:val="22"/>
          <w:szCs w:val="22"/>
          <w:lang w:val="en-GB"/>
        </w:rPr>
      </w:pPr>
      <w:r>
        <w:rPr>
          <w:sz w:val="22"/>
          <w:szCs w:val="22"/>
          <w:lang w:val="en-GB"/>
        </w:rPr>
        <w:t>Tel:  01509 222351 or 01509 222399</w:t>
      </w:r>
    </w:p>
    <w:p w14:paraId="420A99D3" w14:textId="77777777" w:rsidR="00A6698C" w:rsidRPr="00A6698C" w:rsidRDefault="00941845" w:rsidP="00A6698C">
      <w:pPr>
        <w:jc w:val="right"/>
        <w:rPr>
          <w:sz w:val="18"/>
          <w:szCs w:val="18"/>
        </w:rPr>
      </w:pPr>
      <w:r>
        <w:rPr>
          <w:sz w:val="18"/>
          <w:szCs w:val="18"/>
          <w:lang w:val="en-GB"/>
        </w:rPr>
        <w:t>06-07-2017</w:t>
      </w:r>
      <w:r w:rsidR="00A6698C" w:rsidRPr="00A6698C">
        <w:rPr>
          <w:sz w:val="18"/>
          <w:szCs w:val="18"/>
          <w:lang w:val="en-GB"/>
        </w:rPr>
        <w:t>.</w:t>
      </w:r>
    </w:p>
    <w:sectPr w:rsidR="00A6698C" w:rsidRPr="00A66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A659" w14:textId="77777777" w:rsidR="00E25369" w:rsidRDefault="00E25369" w:rsidP="00D41F71">
      <w:r>
        <w:separator/>
      </w:r>
    </w:p>
  </w:endnote>
  <w:endnote w:type="continuationSeparator" w:id="0">
    <w:p w14:paraId="5BF7DBBD" w14:textId="77777777" w:rsidR="00E25369" w:rsidRDefault="00E25369" w:rsidP="00D4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BFF08" w14:textId="77777777" w:rsidR="00E25369" w:rsidRDefault="00E25369" w:rsidP="00D41F71">
      <w:r>
        <w:separator/>
      </w:r>
    </w:p>
  </w:footnote>
  <w:footnote w:type="continuationSeparator" w:id="0">
    <w:p w14:paraId="665D55E7" w14:textId="77777777" w:rsidR="00E25369" w:rsidRDefault="00E25369" w:rsidP="00D41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1AE5"/>
    <w:multiLevelType w:val="hybridMultilevel"/>
    <w:tmpl w:val="DC5C5C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8D0C3F"/>
    <w:multiLevelType w:val="hybridMultilevel"/>
    <w:tmpl w:val="ECBEDA0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5AC385F"/>
    <w:multiLevelType w:val="multilevel"/>
    <w:tmpl w:val="BB56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77B2C"/>
    <w:multiLevelType w:val="hybridMultilevel"/>
    <w:tmpl w:val="1D7C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NbEwtDCyMDU0MjFV0lEKTi0uzszPAykwrAUAPDvgfSwAAAA="/>
  </w:docVars>
  <w:rsids>
    <w:rsidRoot w:val="00A6698C"/>
    <w:rsid w:val="00201618"/>
    <w:rsid w:val="0031443C"/>
    <w:rsid w:val="003A6264"/>
    <w:rsid w:val="0041031C"/>
    <w:rsid w:val="005436C9"/>
    <w:rsid w:val="005E1C2A"/>
    <w:rsid w:val="00621D5F"/>
    <w:rsid w:val="006C0542"/>
    <w:rsid w:val="006F1CEF"/>
    <w:rsid w:val="00815275"/>
    <w:rsid w:val="00941845"/>
    <w:rsid w:val="00953B14"/>
    <w:rsid w:val="009A33CC"/>
    <w:rsid w:val="00A6698C"/>
    <w:rsid w:val="00B30982"/>
    <w:rsid w:val="00D21409"/>
    <w:rsid w:val="00D242FD"/>
    <w:rsid w:val="00D41F71"/>
    <w:rsid w:val="00E253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D5354"/>
  <w15:docId w15:val="{DE32D8A6-9878-46CE-B531-122B23D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98C"/>
    <w:pPr>
      <w:spacing w:after="0" w:line="240" w:lineRule="auto"/>
    </w:pPr>
    <w:rPr>
      <w:rFonts w:ascii="Arial" w:eastAsia="Times New Roman" w:hAnsi="Arial" w:cs="Arial"/>
      <w:sz w:val="20"/>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698C"/>
    <w:rPr>
      <w:color w:val="0000FF" w:themeColor="hyperlink"/>
      <w:u w:val="single"/>
    </w:rPr>
  </w:style>
  <w:style w:type="paragraph" w:styleId="ListParagraph">
    <w:name w:val="List Paragraph"/>
    <w:basedOn w:val="Normal"/>
    <w:uiPriority w:val="34"/>
    <w:qFormat/>
    <w:rsid w:val="00A6698C"/>
    <w:pPr>
      <w:ind w:left="720"/>
      <w:contextualSpacing/>
    </w:pPr>
  </w:style>
  <w:style w:type="paragraph" w:styleId="Header">
    <w:name w:val="header"/>
    <w:basedOn w:val="Normal"/>
    <w:link w:val="HeaderChar"/>
    <w:uiPriority w:val="99"/>
    <w:unhideWhenUsed/>
    <w:rsid w:val="00D41F71"/>
    <w:pPr>
      <w:tabs>
        <w:tab w:val="center" w:pos="4513"/>
        <w:tab w:val="right" w:pos="9026"/>
      </w:tabs>
    </w:pPr>
  </w:style>
  <w:style w:type="character" w:customStyle="1" w:styleId="HeaderChar">
    <w:name w:val="Header Char"/>
    <w:basedOn w:val="DefaultParagraphFont"/>
    <w:link w:val="Header"/>
    <w:uiPriority w:val="99"/>
    <w:rsid w:val="00D41F71"/>
    <w:rPr>
      <w:rFonts w:ascii="Arial" w:eastAsia="Times New Roman" w:hAnsi="Arial" w:cs="Arial"/>
      <w:sz w:val="20"/>
      <w:szCs w:val="20"/>
      <w:lang w:val="en-AU" w:eastAsia="en-US"/>
    </w:rPr>
  </w:style>
  <w:style w:type="paragraph" w:styleId="Footer">
    <w:name w:val="footer"/>
    <w:basedOn w:val="Normal"/>
    <w:link w:val="FooterChar"/>
    <w:uiPriority w:val="99"/>
    <w:unhideWhenUsed/>
    <w:rsid w:val="00D41F71"/>
    <w:pPr>
      <w:tabs>
        <w:tab w:val="center" w:pos="4513"/>
        <w:tab w:val="right" w:pos="9026"/>
      </w:tabs>
    </w:pPr>
  </w:style>
  <w:style w:type="character" w:customStyle="1" w:styleId="FooterChar">
    <w:name w:val="Footer Char"/>
    <w:basedOn w:val="DefaultParagraphFont"/>
    <w:link w:val="Footer"/>
    <w:uiPriority w:val="99"/>
    <w:rsid w:val="00D41F71"/>
    <w:rPr>
      <w:rFonts w:ascii="Arial" w:eastAsia="Times New Roman" w:hAnsi="Arial" w:cs="Arial"/>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7075">
      <w:bodyDiv w:val="1"/>
      <w:marLeft w:val="0"/>
      <w:marRight w:val="0"/>
      <w:marTop w:val="0"/>
      <w:marBottom w:val="0"/>
      <w:divBdr>
        <w:top w:val="none" w:sz="0" w:space="0" w:color="auto"/>
        <w:left w:val="none" w:sz="0" w:space="0" w:color="auto"/>
        <w:bottom w:val="none" w:sz="0" w:space="0" w:color="auto"/>
        <w:right w:val="none" w:sz="0" w:space="0" w:color="auto"/>
      </w:divBdr>
      <w:divsChild>
        <w:div w:id="771514605">
          <w:marLeft w:val="0"/>
          <w:marRight w:val="0"/>
          <w:marTop w:val="0"/>
          <w:marBottom w:val="0"/>
          <w:divBdr>
            <w:top w:val="none" w:sz="0" w:space="0" w:color="auto"/>
            <w:left w:val="none" w:sz="0" w:space="0" w:color="auto"/>
            <w:bottom w:val="none" w:sz="0" w:space="0" w:color="auto"/>
            <w:right w:val="none" w:sz="0" w:space="0" w:color="auto"/>
          </w:divBdr>
          <w:divsChild>
            <w:div w:id="1483348975">
              <w:marLeft w:val="0"/>
              <w:marRight w:val="0"/>
              <w:marTop w:val="0"/>
              <w:marBottom w:val="0"/>
              <w:divBdr>
                <w:top w:val="none" w:sz="0" w:space="0" w:color="auto"/>
                <w:left w:val="none" w:sz="0" w:space="0" w:color="auto"/>
                <w:bottom w:val="none" w:sz="0" w:space="0" w:color="auto"/>
                <w:right w:val="none" w:sz="0" w:space="0" w:color="auto"/>
              </w:divBdr>
              <w:divsChild>
                <w:div w:id="416287006">
                  <w:marLeft w:val="0"/>
                  <w:marRight w:val="0"/>
                  <w:marTop w:val="0"/>
                  <w:marBottom w:val="0"/>
                  <w:divBdr>
                    <w:top w:val="none" w:sz="0" w:space="0" w:color="auto"/>
                    <w:left w:val="none" w:sz="0" w:space="0" w:color="auto"/>
                    <w:bottom w:val="none" w:sz="0" w:space="0" w:color="auto"/>
                    <w:right w:val="none" w:sz="0" w:space="0" w:color="auto"/>
                  </w:divBdr>
                  <w:divsChild>
                    <w:div w:id="1689256173">
                      <w:marLeft w:val="0"/>
                      <w:marRight w:val="0"/>
                      <w:marTop w:val="0"/>
                      <w:marBottom w:val="0"/>
                      <w:divBdr>
                        <w:top w:val="none" w:sz="0" w:space="0" w:color="auto"/>
                        <w:left w:val="none" w:sz="0" w:space="0" w:color="auto"/>
                        <w:bottom w:val="none" w:sz="0" w:space="0" w:color="auto"/>
                        <w:right w:val="none" w:sz="0" w:space="0" w:color="auto"/>
                      </w:divBdr>
                      <w:divsChild>
                        <w:div w:id="1404792005">
                          <w:marLeft w:val="0"/>
                          <w:marRight w:val="0"/>
                          <w:marTop w:val="0"/>
                          <w:marBottom w:val="0"/>
                          <w:divBdr>
                            <w:top w:val="none" w:sz="0" w:space="0" w:color="auto"/>
                            <w:left w:val="none" w:sz="0" w:space="0" w:color="auto"/>
                            <w:bottom w:val="none" w:sz="0" w:space="0" w:color="auto"/>
                            <w:right w:val="none" w:sz="0" w:space="0" w:color="auto"/>
                          </w:divBdr>
                          <w:divsChild>
                            <w:div w:id="1106271621">
                              <w:marLeft w:val="0"/>
                              <w:marRight w:val="0"/>
                              <w:marTop w:val="0"/>
                              <w:marBottom w:val="0"/>
                              <w:divBdr>
                                <w:top w:val="none" w:sz="0" w:space="0" w:color="auto"/>
                                <w:left w:val="none" w:sz="0" w:space="0" w:color="auto"/>
                                <w:bottom w:val="none" w:sz="0" w:space="0" w:color="auto"/>
                                <w:right w:val="none" w:sz="0" w:space="0" w:color="auto"/>
                              </w:divBdr>
                              <w:divsChild>
                                <w:div w:id="1011644646">
                                  <w:marLeft w:val="0"/>
                                  <w:marRight w:val="0"/>
                                  <w:marTop w:val="0"/>
                                  <w:marBottom w:val="0"/>
                                  <w:divBdr>
                                    <w:top w:val="none" w:sz="0" w:space="0" w:color="auto"/>
                                    <w:left w:val="none" w:sz="0" w:space="0" w:color="auto"/>
                                    <w:bottom w:val="none" w:sz="0" w:space="0" w:color="auto"/>
                                    <w:right w:val="none" w:sz="0" w:space="0" w:color="auto"/>
                                  </w:divBdr>
                                  <w:divsChild>
                                    <w:div w:id="1403286591">
                                      <w:marLeft w:val="0"/>
                                      <w:marRight w:val="0"/>
                                      <w:marTop w:val="0"/>
                                      <w:marBottom w:val="0"/>
                                      <w:divBdr>
                                        <w:top w:val="none" w:sz="0" w:space="0" w:color="auto"/>
                                        <w:left w:val="none" w:sz="0" w:space="0" w:color="auto"/>
                                        <w:bottom w:val="none" w:sz="0" w:space="0" w:color="auto"/>
                                        <w:right w:val="none" w:sz="0" w:space="0" w:color="auto"/>
                                      </w:divBdr>
                                      <w:divsChild>
                                        <w:div w:id="1204054783">
                                          <w:marLeft w:val="0"/>
                                          <w:marRight w:val="0"/>
                                          <w:marTop w:val="0"/>
                                          <w:marBottom w:val="0"/>
                                          <w:divBdr>
                                            <w:top w:val="none" w:sz="0" w:space="0" w:color="auto"/>
                                            <w:left w:val="none" w:sz="0" w:space="0" w:color="auto"/>
                                            <w:bottom w:val="none" w:sz="0" w:space="0" w:color="auto"/>
                                            <w:right w:val="none" w:sz="0" w:space="0" w:color="auto"/>
                                          </w:divBdr>
                                          <w:divsChild>
                                            <w:div w:id="4258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80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legalcode" TargetMode="External"/><Relationship Id="rId3" Type="http://schemas.openxmlformats.org/officeDocument/2006/relationships/settings" Target="settings.xml"/><Relationship Id="rId7" Type="http://schemas.openxmlformats.org/officeDocument/2006/relationships/hyperlink" Target="http://www.legislation.gov.uk/ukpga/1988/48/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pyright@lboro.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Katie Appleton</cp:lastModifiedBy>
  <cp:revision>4</cp:revision>
  <dcterms:created xsi:type="dcterms:W3CDTF">2017-07-12T09:45:00Z</dcterms:created>
  <dcterms:modified xsi:type="dcterms:W3CDTF">2019-03-26T16:46:00Z</dcterms:modified>
</cp:coreProperties>
</file>