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CDC2C" w14:textId="215F84EF" w:rsidR="00140AC8" w:rsidRDefault="00140AC8" w:rsidP="00140AC8">
      <w:pPr>
        <w:spacing w:before="92" w:line="360" w:lineRule="auto"/>
        <w:rPr>
          <w:b/>
          <w:color w:val="221E1F"/>
          <w:sz w:val="24"/>
        </w:rPr>
      </w:pPr>
      <w:r w:rsidRPr="00AF2326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77AA0FD" wp14:editId="067EC2B6">
            <wp:simplePos x="0" y="0"/>
            <wp:positionH relativeFrom="column">
              <wp:posOffset>4122420</wp:posOffset>
            </wp:positionH>
            <wp:positionV relativeFrom="paragraph">
              <wp:posOffset>-323850</wp:posOffset>
            </wp:positionV>
            <wp:extent cx="2208904" cy="682751"/>
            <wp:effectExtent l="0" t="0" r="1270" b="3175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904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72C12" w14:textId="77777777" w:rsidR="00140AC8" w:rsidRDefault="00140AC8" w:rsidP="00140AC8">
      <w:pPr>
        <w:pStyle w:val="BodyText"/>
        <w:jc w:val="right"/>
        <w:rPr>
          <w:sz w:val="20"/>
        </w:rPr>
      </w:pPr>
    </w:p>
    <w:p w14:paraId="3EF28F32" w14:textId="77777777" w:rsidR="00140AC8" w:rsidRPr="00AF2326" w:rsidRDefault="00140AC8" w:rsidP="00140AC8">
      <w:pPr>
        <w:pStyle w:val="BodyText"/>
        <w:jc w:val="right"/>
        <w:rPr>
          <w:sz w:val="20"/>
        </w:rPr>
      </w:pPr>
    </w:p>
    <w:p w14:paraId="7A6C5723" w14:textId="77777777" w:rsidR="00140AC8" w:rsidRPr="00AF2326" w:rsidRDefault="00140AC8" w:rsidP="00140AC8">
      <w:pPr>
        <w:pStyle w:val="BodyText"/>
        <w:spacing w:before="4"/>
        <w:rPr>
          <w:sz w:val="18"/>
        </w:rPr>
      </w:pPr>
    </w:p>
    <w:p w14:paraId="2957E216" w14:textId="68C68C6E" w:rsidR="00140AC8" w:rsidRPr="00E502FC" w:rsidRDefault="00E502FC" w:rsidP="00140AC8">
      <w:pPr>
        <w:rPr>
          <w:b/>
          <w:color w:val="221E1F"/>
          <w:sz w:val="32"/>
          <w:szCs w:val="32"/>
        </w:rPr>
      </w:pPr>
      <w:r>
        <w:rPr>
          <w:b/>
          <w:color w:val="221E1F"/>
          <w:sz w:val="32"/>
          <w:szCs w:val="32"/>
        </w:rPr>
        <w:t xml:space="preserve">Ethics </w:t>
      </w:r>
      <w:r w:rsidR="00140AC8" w:rsidRPr="00E502FC">
        <w:rPr>
          <w:b/>
          <w:color w:val="221E1F"/>
          <w:sz w:val="32"/>
          <w:szCs w:val="32"/>
        </w:rPr>
        <w:t>Review of Projects Involving Elevated Ethical Risk International Collaborations</w:t>
      </w:r>
    </w:p>
    <w:p w14:paraId="2B892FF3" w14:textId="77777777" w:rsidR="00140AC8" w:rsidRPr="00E502FC" w:rsidRDefault="00140AC8" w:rsidP="00140AC8">
      <w:pPr>
        <w:rPr>
          <w:b/>
          <w:color w:val="221E1F"/>
          <w:sz w:val="32"/>
          <w:szCs w:val="32"/>
        </w:rPr>
      </w:pPr>
    </w:p>
    <w:p w14:paraId="49013B78" w14:textId="06420BE8" w:rsidR="00140AC8" w:rsidRPr="00A152D4" w:rsidRDefault="00140AC8" w:rsidP="00140AC8">
      <w:pPr>
        <w:rPr>
          <w:color w:val="221E1F"/>
          <w:sz w:val="24"/>
        </w:rPr>
      </w:pPr>
      <w:r w:rsidRPr="001A294C">
        <w:rPr>
          <w:color w:val="221E1F"/>
          <w:sz w:val="24"/>
        </w:rPr>
        <w:t xml:space="preserve">This </w:t>
      </w:r>
      <w:r w:rsidR="00E502FC">
        <w:rPr>
          <w:color w:val="221E1F"/>
          <w:sz w:val="24"/>
        </w:rPr>
        <w:t xml:space="preserve">process </w:t>
      </w:r>
      <w:r w:rsidRPr="001A294C">
        <w:rPr>
          <w:color w:val="221E1F"/>
          <w:sz w:val="24"/>
        </w:rPr>
        <w:t xml:space="preserve">relates to projects involving people or entities from countries or regimes which raise particular ethical issues (for example, around civil/human rights, or national security), and which therefore give rise to a distinctive set of ethical questions, requiring additional scrutiny through the University’s ethical </w:t>
      </w:r>
      <w:r>
        <w:rPr>
          <w:color w:val="221E1F"/>
          <w:sz w:val="24"/>
        </w:rPr>
        <w:t>review</w:t>
      </w:r>
      <w:r w:rsidRPr="001A294C">
        <w:rPr>
          <w:color w:val="221E1F"/>
          <w:sz w:val="24"/>
        </w:rPr>
        <w:t xml:space="preserve"> processes. </w:t>
      </w:r>
    </w:p>
    <w:p w14:paraId="4F533B4A" w14:textId="2ECF7629" w:rsidR="00140AC8" w:rsidRDefault="00140AC8" w:rsidP="00140AC8">
      <w:pPr>
        <w:pStyle w:val="BodyText"/>
        <w:rPr>
          <w:i/>
          <w:sz w:val="20"/>
        </w:rPr>
      </w:pPr>
    </w:p>
    <w:p w14:paraId="67F4C32E" w14:textId="77777777" w:rsidR="00E502FC" w:rsidRPr="00AF2326" w:rsidRDefault="00E502FC" w:rsidP="00140AC8">
      <w:pPr>
        <w:pStyle w:val="BodyText"/>
        <w:rPr>
          <w:i/>
          <w:sz w:val="20"/>
        </w:rPr>
      </w:pPr>
    </w:p>
    <w:p w14:paraId="471677C6" w14:textId="77777777" w:rsidR="00140AC8" w:rsidRPr="00E502FC" w:rsidRDefault="00140AC8" w:rsidP="00140AC8">
      <w:pPr>
        <w:shd w:val="clear" w:color="auto" w:fill="D9D9D9" w:themeFill="background1" w:themeFillShade="D9"/>
        <w:tabs>
          <w:tab w:val="left" w:pos="10405"/>
        </w:tabs>
        <w:rPr>
          <w:b/>
          <w:sz w:val="28"/>
          <w:szCs w:val="28"/>
        </w:rPr>
      </w:pPr>
      <w:r w:rsidRPr="00E502FC">
        <w:rPr>
          <w:b/>
          <w:color w:val="221E1F"/>
          <w:sz w:val="28"/>
          <w:szCs w:val="28"/>
        </w:rPr>
        <w:t>Approval</w:t>
      </w:r>
      <w:r w:rsidRPr="00E502FC">
        <w:rPr>
          <w:b/>
          <w:color w:val="221E1F"/>
          <w:spacing w:val="-14"/>
          <w:sz w:val="28"/>
          <w:szCs w:val="28"/>
        </w:rPr>
        <w:t xml:space="preserve"> </w:t>
      </w:r>
      <w:r w:rsidRPr="00E502FC">
        <w:rPr>
          <w:b/>
          <w:color w:val="221E1F"/>
          <w:sz w:val="28"/>
          <w:szCs w:val="28"/>
        </w:rPr>
        <w:t>Process</w:t>
      </w:r>
    </w:p>
    <w:p w14:paraId="43FDC45E" w14:textId="77777777" w:rsidR="00140AC8" w:rsidRPr="00AF2326" w:rsidRDefault="00140AC8" w:rsidP="00140AC8">
      <w:pPr>
        <w:pStyle w:val="BodyText"/>
        <w:rPr>
          <w:b/>
          <w:sz w:val="20"/>
        </w:rPr>
      </w:pPr>
    </w:p>
    <w:p w14:paraId="76E61D99" w14:textId="77777777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79631107" w14:textId="6F42F60C" w:rsidR="00140AC8" w:rsidRDefault="00140AC8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  <w:r w:rsidRPr="00A152D4">
        <w:rPr>
          <w:b/>
          <w:bCs/>
          <w:color w:val="221E1F"/>
          <w:sz w:val="24"/>
        </w:rPr>
        <w:t>STAGE 1</w:t>
      </w:r>
      <w:r>
        <w:rPr>
          <w:b/>
          <w:bCs/>
          <w:color w:val="221E1F"/>
          <w:sz w:val="24"/>
        </w:rPr>
        <w:t xml:space="preserve"> – Pre-approved activity</w:t>
      </w:r>
    </w:p>
    <w:p w14:paraId="6891334D" w14:textId="77777777" w:rsidR="00140AC8" w:rsidRPr="00A152D4" w:rsidRDefault="00140AC8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2569F142" w14:textId="77777777" w:rsidR="00140AC8" w:rsidRPr="00A152D4" w:rsidRDefault="00140AC8" w:rsidP="00140AC8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color w:val="221E1F"/>
          <w:sz w:val="24"/>
        </w:rPr>
      </w:pPr>
      <w:r w:rsidRPr="00A152D4">
        <w:rPr>
          <w:color w:val="221E1F"/>
          <w:sz w:val="24"/>
        </w:rPr>
        <w:t>Does the activity involve students or other individuals from the ‘elevated risk’ country or regime coming to study or participate in development activity at Loughborough?</w:t>
      </w:r>
      <w:r>
        <w:rPr>
          <w:color w:val="221E1F"/>
          <w:sz w:val="24"/>
        </w:rPr>
        <w:t xml:space="preserve"> </w:t>
      </w:r>
      <w:r w:rsidRPr="00A152D4">
        <w:rPr>
          <w:b/>
          <w:bCs/>
          <w:color w:val="221E1F"/>
          <w:sz w:val="24"/>
          <w:u w:val="single"/>
        </w:rPr>
        <w:t>AND</w:t>
      </w:r>
    </w:p>
    <w:p w14:paraId="6C59341C" w14:textId="77777777" w:rsidR="00140AC8" w:rsidRPr="00A152D4" w:rsidRDefault="00140AC8" w:rsidP="00140AC8">
      <w:pPr>
        <w:pStyle w:val="ListParagraph"/>
        <w:widowControl/>
        <w:autoSpaceDE/>
        <w:autoSpaceDN/>
        <w:ind w:left="720" w:firstLine="0"/>
        <w:contextualSpacing/>
        <w:rPr>
          <w:color w:val="221E1F"/>
          <w:sz w:val="24"/>
        </w:rPr>
      </w:pPr>
    </w:p>
    <w:p w14:paraId="35310CC9" w14:textId="77777777" w:rsidR="00140AC8" w:rsidRDefault="00140AC8" w:rsidP="00140AC8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color w:val="221E1F"/>
          <w:sz w:val="24"/>
        </w:rPr>
      </w:pPr>
      <w:r w:rsidRPr="00A152D4">
        <w:rPr>
          <w:color w:val="221E1F"/>
          <w:sz w:val="24"/>
        </w:rPr>
        <w:t>Is the process for recruiting such individuals consistent with the principles of the Equality Act 2010?</w:t>
      </w:r>
    </w:p>
    <w:p w14:paraId="35C4432D" w14:textId="77777777" w:rsidR="00140AC8" w:rsidRPr="00A152D4" w:rsidRDefault="00140AC8" w:rsidP="00140AC8">
      <w:pPr>
        <w:widowControl/>
        <w:autoSpaceDE/>
        <w:autoSpaceDN/>
        <w:contextualSpacing/>
        <w:rPr>
          <w:color w:val="221E1F"/>
          <w:sz w:val="24"/>
        </w:rPr>
      </w:pPr>
    </w:p>
    <w:p w14:paraId="4551EC1D" w14:textId="77777777" w:rsidR="00140AC8" w:rsidRDefault="00140AC8" w:rsidP="00140AC8">
      <w:pPr>
        <w:ind w:right="-1"/>
        <w:rPr>
          <w:color w:val="221E1F"/>
          <w:sz w:val="24"/>
        </w:rPr>
      </w:pPr>
      <w:r w:rsidRPr="00A152D4">
        <w:rPr>
          <w:color w:val="221E1F"/>
          <w:sz w:val="24"/>
        </w:rPr>
        <w:t xml:space="preserve">If the responses to the above questions are </w:t>
      </w:r>
      <w:r>
        <w:rPr>
          <w:color w:val="221E1F"/>
          <w:sz w:val="24"/>
        </w:rPr>
        <w:t>“YES”</w:t>
      </w:r>
      <w:r w:rsidRPr="00A152D4">
        <w:rPr>
          <w:color w:val="221E1F"/>
          <w:sz w:val="24"/>
        </w:rPr>
        <w:t xml:space="preserve">, the activity can be considered </w:t>
      </w:r>
      <w:r>
        <w:rPr>
          <w:color w:val="221E1F"/>
          <w:sz w:val="24"/>
        </w:rPr>
        <w:t>acceptable and no further review is required</w:t>
      </w:r>
      <w:r w:rsidRPr="00A152D4">
        <w:rPr>
          <w:color w:val="221E1F"/>
          <w:sz w:val="24"/>
        </w:rPr>
        <w:t>.</w:t>
      </w:r>
    </w:p>
    <w:p w14:paraId="72DBFB69" w14:textId="77777777" w:rsidR="00140AC8" w:rsidRPr="00A152D4" w:rsidRDefault="00140AC8" w:rsidP="00140AC8">
      <w:pPr>
        <w:ind w:right="-1"/>
        <w:rPr>
          <w:color w:val="221E1F"/>
          <w:sz w:val="24"/>
        </w:rPr>
      </w:pPr>
    </w:p>
    <w:p w14:paraId="7C48D40A" w14:textId="77777777" w:rsidR="00140AC8" w:rsidRPr="00A152D4" w:rsidRDefault="00140AC8" w:rsidP="00140AC8">
      <w:pPr>
        <w:ind w:right="-1"/>
        <w:rPr>
          <w:color w:val="221E1F"/>
          <w:sz w:val="24"/>
        </w:rPr>
      </w:pPr>
      <w:r w:rsidRPr="00A152D4">
        <w:rPr>
          <w:color w:val="221E1F"/>
          <w:sz w:val="24"/>
        </w:rPr>
        <w:t>If the re</w:t>
      </w:r>
      <w:r>
        <w:rPr>
          <w:color w:val="221E1F"/>
          <w:sz w:val="24"/>
        </w:rPr>
        <w:t>sponses to one or both of the above questions are “NO”, please go to STAGE 2 below.</w:t>
      </w:r>
    </w:p>
    <w:p w14:paraId="10FB8F3A" w14:textId="77777777" w:rsidR="00140AC8" w:rsidRDefault="00140AC8" w:rsidP="00140AC8">
      <w:pPr>
        <w:ind w:right="-1"/>
        <w:rPr>
          <w:b/>
          <w:color w:val="221E1F"/>
          <w:sz w:val="23"/>
          <w:szCs w:val="23"/>
        </w:rPr>
      </w:pPr>
    </w:p>
    <w:p w14:paraId="29D878AB" w14:textId="77777777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1DB266D5" w14:textId="750A5E81" w:rsidR="00140AC8" w:rsidRDefault="00140AC8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  <w:r w:rsidRPr="00A152D4">
        <w:rPr>
          <w:b/>
          <w:bCs/>
          <w:color w:val="221E1F"/>
          <w:sz w:val="24"/>
        </w:rPr>
        <w:t>STAGE 2</w:t>
      </w:r>
    </w:p>
    <w:p w14:paraId="601FCD26" w14:textId="77777777" w:rsidR="00140AC8" w:rsidRDefault="00140AC8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3F0E077E" w14:textId="77777777" w:rsidR="00140AC8" w:rsidRPr="00AF2326" w:rsidRDefault="00140AC8" w:rsidP="00140AC8">
      <w:pPr>
        <w:pStyle w:val="Heading3"/>
        <w:ind w:left="0"/>
      </w:pPr>
      <w:r w:rsidRPr="00AF2326">
        <w:rPr>
          <w:color w:val="221E1F"/>
        </w:rPr>
        <w:t>The process follows the regular pattern of:</w:t>
      </w:r>
    </w:p>
    <w:p w14:paraId="18423AB4" w14:textId="77777777" w:rsidR="00140AC8" w:rsidRPr="00AF2326" w:rsidRDefault="00140AC8" w:rsidP="00140AC8">
      <w:pPr>
        <w:pStyle w:val="BodyText"/>
        <w:spacing w:before="1"/>
        <w:rPr>
          <w:sz w:val="21"/>
        </w:rPr>
      </w:pPr>
    </w:p>
    <w:p w14:paraId="3FD2BB45" w14:textId="77777777" w:rsidR="00140AC8" w:rsidRPr="00AF2326" w:rsidRDefault="00140AC8" w:rsidP="00140AC8">
      <w:pPr>
        <w:pStyle w:val="ListParagraph"/>
        <w:numPr>
          <w:ilvl w:val="1"/>
          <w:numId w:val="1"/>
        </w:numPr>
        <w:tabs>
          <w:tab w:val="left" w:pos="1627"/>
        </w:tabs>
        <w:ind w:left="426" w:hanging="426"/>
        <w:rPr>
          <w:sz w:val="24"/>
        </w:rPr>
      </w:pPr>
      <w:r w:rsidRPr="00AF2326">
        <w:rPr>
          <w:color w:val="221E1F"/>
          <w:sz w:val="24"/>
        </w:rPr>
        <w:t>Self-assessment</w:t>
      </w:r>
    </w:p>
    <w:p w14:paraId="12672288" w14:textId="77777777" w:rsidR="00140AC8" w:rsidRPr="00AF2326" w:rsidRDefault="00140AC8" w:rsidP="00140AC8">
      <w:pPr>
        <w:pStyle w:val="BodyText"/>
        <w:spacing w:before="10"/>
        <w:ind w:left="426" w:hanging="426"/>
        <w:rPr>
          <w:sz w:val="20"/>
        </w:rPr>
      </w:pPr>
    </w:p>
    <w:p w14:paraId="19A4746E" w14:textId="50813130" w:rsidR="00140AC8" w:rsidRPr="007D7A99" w:rsidRDefault="00140AC8" w:rsidP="00140AC8">
      <w:pPr>
        <w:pStyle w:val="ListParagraph"/>
        <w:numPr>
          <w:ilvl w:val="1"/>
          <w:numId w:val="1"/>
        </w:numPr>
        <w:tabs>
          <w:tab w:val="left" w:pos="1627"/>
        </w:tabs>
        <w:ind w:left="426" w:hanging="426"/>
      </w:pPr>
      <w:r w:rsidRPr="00AF2326">
        <w:rPr>
          <w:color w:val="221E1F"/>
          <w:sz w:val="24"/>
        </w:rPr>
        <w:t>Escalation to</w:t>
      </w:r>
      <w:r w:rsidRPr="00AF2326">
        <w:rPr>
          <w:color w:val="221E1F"/>
          <w:spacing w:val="-6"/>
          <w:sz w:val="24"/>
        </w:rPr>
        <w:t xml:space="preserve"> </w:t>
      </w:r>
      <w:r w:rsidRPr="00AF2326">
        <w:rPr>
          <w:color w:val="221E1F"/>
          <w:sz w:val="24"/>
        </w:rPr>
        <w:t>ADR/Dean</w:t>
      </w:r>
      <w:r>
        <w:rPr>
          <w:color w:val="221E1F"/>
          <w:sz w:val="24"/>
        </w:rPr>
        <w:t xml:space="preserve"> or </w:t>
      </w:r>
      <w:r w:rsidRPr="007D7A99">
        <w:t>to Responsible Person</w:t>
      </w:r>
      <w:r>
        <w:rPr>
          <w:color w:val="221E1F"/>
          <w:sz w:val="24"/>
        </w:rPr>
        <w:t xml:space="preserve"> (see Appendix 3</w:t>
      </w:r>
      <w:r w:rsidR="00E502FC">
        <w:rPr>
          <w:color w:val="221E1F"/>
          <w:sz w:val="24"/>
        </w:rPr>
        <w:t xml:space="preserve"> of the Ethical Policy Framework</w:t>
      </w:r>
      <w:r>
        <w:rPr>
          <w:color w:val="221E1F"/>
          <w:sz w:val="24"/>
        </w:rPr>
        <w:t>)</w:t>
      </w:r>
    </w:p>
    <w:p w14:paraId="55135C34" w14:textId="77777777" w:rsidR="00140AC8" w:rsidRPr="00AF2326" w:rsidRDefault="00140AC8" w:rsidP="00140AC8">
      <w:pPr>
        <w:pStyle w:val="BodyText"/>
        <w:spacing w:before="10"/>
        <w:ind w:left="426" w:hanging="426"/>
        <w:rPr>
          <w:sz w:val="20"/>
        </w:rPr>
      </w:pPr>
    </w:p>
    <w:p w14:paraId="62C5123A" w14:textId="727C866A" w:rsidR="00140AC8" w:rsidRPr="00AF2326" w:rsidRDefault="00140AC8" w:rsidP="00140AC8">
      <w:pPr>
        <w:pStyle w:val="ListParagraph"/>
        <w:numPr>
          <w:ilvl w:val="1"/>
          <w:numId w:val="1"/>
        </w:numPr>
        <w:tabs>
          <w:tab w:val="left" w:pos="1627"/>
        </w:tabs>
        <w:ind w:left="426" w:hanging="426"/>
        <w:rPr>
          <w:sz w:val="24"/>
        </w:rPr>
      </w:pPr>
      <w:r w:rsidRPr="00AF2326">
        <w:rPr>
          <w:color w:val="221E1F"/>
          <w:sz w:val="24"/>
        </w:rPr>
        <w:t>Escalation to Ethics</w:t>
      </w:r>
      <w:r w:rsidRPr="00AF2326">
        <w:rPr>
          <w:color w:val="221E1F"/>
          <w:spacing w:val="-8"/>
          <w:sz w:val="24"/>
        </w:rPr>
        <w:t xml:space="preserve"> </w:t>
      </w:r>
      <w:r w:rsidRPr="00AF2326">
        <w:rPr>
          <w:color w:val="221E1F"/>
          <w:sz w:val="24"/>
        </w:rPr>
        <w:t>Committee</w:t>
      </w:r>
      <w:r w:rsidR="00E502FC">
        <w:rPr>
          <w:color w:val="221E1F"/>
          <w:sz w:val="24"/>
        </w:rPr>
        <w:t xml:space="preserve"> – complete the form below and submit to the Ethics Committee Secretary.</w:t>
      </w:r>
    </w:p>
    <w:p w14:paraId="3D592505" w14:textId="66E05F12" w:rsidR="00140AC8" w:rsidRDefault="00140AC8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48AC2A34" w14:textId="0FDBDF9D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011E51E5" w14:textId="03387917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288A11FE" w14:textId="53E109CF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7B423528" w14:textId="35FE37B8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74AC4ECE" w14:textId="1158212F" w:rsidR="00E502FC" w:rsidRDefault="00E502FC" w:rsidP="00140AC8">
      <w:pPr>
        <w:widowControl/>
        <w:autoSpaceDE/>
        <w:autoSpaceDN/>
        <w:contextualSpacing/>
        <w:rPr>
          <w:b/>
          <w:bCs/>
          <w:color w:val="221E1F"/>
          <w:sz w:val="24"/>
        </w:rPr>
      </w:pPr>
    </w:p>
    <w:p w14:paraId="1868DF9F" w14:textId="7857E4A8" w:rsidR="00E502FC" w:rsidRPr="00E502FC" w:rsidRDefault="00E502FC" w:rsidP="00E502FC">
      <w:pPr>
        <w:rPr>
          <w:b/>
          <w:color w:val="221E1F"/>
          <w:sz w:val="32"/>
          <w:szCs w:val="32"/>
        </w:rPr>
      </w:pPr>
      <w:r w:rsidRPr="00E502FC">
        <w:rPr>
          <w:b/>
          <w:color w:val="221E1F"/>
          <w:sz w:val="32"/>
          <w:szCs w:val="32"/>
        </w:rPr>
        <w:lastRenderedPageBreak/>
        <w:t xml:space="preserve">Ethics Review of </w:t>
      </w:r>
      <w:r w:rsidRPr="00E502FC">
        <w:rPr>
          <w:b/>
          <w:color w:val="221E1F"/>
          <w:sz w:val="32"/>
          <w:szCs w:val="32"/>
        </w:rPr>
        <w:t>Projects Involving Elevated Ethical Risk International Collaborations</w:t>
      </w:r>
    </w:p>
    <w:p w14:paraId="1FEE0483" w14:textId="77777777" w:rsidR="00140AC8" w:rsidRDefault="00140AC8" w:rsidP="00140AC8">
      <w:pPr>
        <w:ind w:right="-1"/>
        <w:rPr>
          <w:b/>
          <w:color w:val="221E1F"/>
          <w:sz w:val="23"/>
          <w:szCs w:val="23"/>
        </w:rPr>
      </w:pPr>
    </w:p>
    <w:p w14:paraId="3AE904C5" w14:textId="77777777" w:rsidR="00E502FC" w:rsidRDefault="00E502FC" w:rsidP="00140AC8">
      <w:pPr>
        <w:ind w:right="-1"/>
        <w:rPr>
          <w:color w:val="221E1F"/>
          <w:sz w:val="24"/>
        </w:rPr>
      </w:pPr>
    </w:p>
    <w:p w14:paraId="092FEB50" w14:textId="508289B0" w:rsidR="00140AC8" w:rsidRPr="00A152D4" w:rsidRDefault="00140AC8" w:rsidP="00140AC8">
      <w:pPr>
        <w:ind w:right="-1"/>
        <w:rPr>
          <w:color w:val="221E1F"/>
          <w:sz w:val="24"/>
        </w:rPr>
      </w:pPr>
      <w:r w:rsidRPr="00A152D4">
        <w:rPr>
          <w:color w:val="221E1F"/>
          <w:sz w:val="24"/>
        </w:rPr>
        <w:t>Please provide the following information:</w:t>
      </w:r>
    </w:p>
    <w:p w14:paraId="0E6307C0" w14:textId="77777777" w:rsidR="00140AC8" w:rsidRDefault="00140AC8" w:rsidP="00140AC8">
      <w:pPr>
        <w:ind w:right="-1"/>
        <w:rPr>
          <w:b/>
          <w:color w:val="221E1F"/>
          <w:sz w:val="23"/>
          <w:szCs w:val="23"/>
        </w:rPr>
      </w:pPr>
    </w:p>
    <w:p w14:paraId="78868F5A" w14:textId="77777777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5DA3BDB5" w14:textId="72CB3393" w:rsidR="00E502FC" w:rsidRDefault="00140AC8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  <w:r w:rsidRPr="00AF2326">
        <w:rPr>
          <w:color w:val="221E1F"/>
          <w:sz w:val="24"/>
        </w:rPr>
        <w:t xml:space="preserve">Project </w:t>
      </w:r>
      <w:r>
        <w:rPr>
          <w:color w:val="221E1F"/>
          <w:sz w:val="24"/>
        </w:rPr>
        <w:t>T</w:t>
      </w:r>
      <w:r w:rsidRPr="00AF2326">
        <w:rPr>
          <w:color w:val="221E1F"/>
          <w:sz w:val="24"/>
        </w:rPr>
        <w:t xml:space="preserve">itle: </w:t>
      </w:r>
    </w:p>
    <w:p w14:paraId="5460DFC0" w14:textId="77777777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082D0042" w14:textId="6DB1ADAE" w:rsidR="00140AC8" w:rsidRDefault="00140AC8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  <w:r>
        <w:rPr>
          <w:color w:val="221E1F"/>
          <w:sz w:val="24"/>
        </w:rPr>
        <w:tab/>
      </w:r>
      <w:r>
        <w:rPr>
          <w:color w:val="221E1F"/>
          <w:sz w:val="24"/>
        </w:rPr>
        <w:tab/>
      </w:r>
    </w:p>
    <w:p w14:paraId="416F9D99" w14:textId="2374A630" w:rsidR="00140AC8" w:rsidRDefault="00140AC8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  <w:r w:rsidRPr="00AF2326">
        <w:rPr>
          <w:color w:val="221E1F"/>
          <w:sz w:val="24"/>
        </w:rPr>
        <w:t>Investigators:</w:t>
      </w:r>
    </w:p>
    <w:p w14:paraId="4D184652" w14:textId="374E8B2F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5B3E6A48" w14:textId="04802EB1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448BEA4F" w14:textId="77777777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71FDC434" w14:textId="46A8A068" w:rsidR="00140AC8" w:rsidRDefault="00140AC8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  <w:r>
        <w:rPr>
          <w:color w:val="221E1F"/>
          <w:sz w:val="24"/>
        </w:rPr>
        <w:t>Description of Project including details of the countries or regimes, and of the specific ethical issues arising:</w:t>
      </w:r>
    </w:p>
    <w:p w14:paraId="4E1E891A" w14:textId="047E83B0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048EB73B" w14:textId="72180010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1DC75768" w14:textId="0370F259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1F0DF156" w14:textId="74F04223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40262702" w14:textId="12B35FF4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0674E085" w14:textId="4CD60FBA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4B26425D" w14:textId="15CCC3ED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6B852247" w14:textId="6D80ED0F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06134E9D" w14:textId="2DBBA1BF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1238E585" w14:textId="2BC9DD95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7A4674CB" w14:textId="7BFB7D83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7A0B0ED6" w14:textId="77777777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2F5D05FD" w14:textId="1000B1B4" w:rsidR="00140AC8" w:rsidRDefault="00140AC8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05AE0BB4" w14:textId="1C3BC523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  <w:r>
        <w:rPr>
          <w:color w:val="221E1F"/>
          <w:sz w:val="24"/>
        </w:rPr>
        <w:t>Once completed this form should be submitted to the Ethics Committee Secretary for review.</w:t>
      </w:r>
    </w:p>
    <w:p w14:paraId="24EC157A" w14:textId="77777777" w:rsidR="00E502FC" w:rsidRDefault="00E502FC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</w:p>
    <w:p w14:paraId="1EBB8192" w14:textId="485EA4F5" w:rsidR="00140AC8" w:rsidRPr="00E42A7C" w:rsidRDefault="00140AC8" w:rsidP="00140AC8">
      <w:pPr>
        <w:tabs>
          <w:tab w:val="left" w:pos="3969"/>
          <w:tab w:val="left" w:pos="4253"/>
          <w:tab w:val="left" w:pos="9639"/>
        </w:tabs>
        <w:rPr>
          <w:color w:val="221E1F"/>
          <w:sz w:val="24"/>
        </w:rPr>
      </w:pPr>
      <w:r>
        <w:rPr>
          <w:color w:val="221E1F"/>
          <w:sz w:val="24"/>
        </w:rPr>
        <w:t xml:space="preserve">The submission will be considered by the University’s Ethics Committee, and you will be contacted by the Ethics Committee </w:t>
      </w:r>
      <w:r w:rsidR="00E502FC">
        <w:rPr>
          <w:color w:val="221E1F"/>
          <w:sz w:val="24"/>
        </w:rPr>
        <w:t>S</w:t>
      </w:r>
      <w:r>
        <w:rPr>
          <w:color w:val="221E1F"/>
          <w:sz w:val="24"/>
        </w:rPr>
        <w:t>ecretary.</w:t>
      </w:r>
    </w:p>
    <w:sectPr w:rsidR="00140AC8" w:rsidRPr="00E42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5676"/>
    <w:multiLevelType w:val="hybridMultilevel"/>
    <w:tmpl w:val="6A2A3070"/>
    <w:lvl w:ilvl="0" w:tplc="8CC62352">
      <w:start w:val="1"/>
      <w:numFmt w:val="decimal"/>
      <w:lvlText w:val="%1."/>
      <w:lvlJc w:val="left"/>
      <w:pPr>
        <w:ind w:left="1136" w:hanging="821"/>
      </w:pPr>
      <w:rPr>
        <w:rFonts w:ascii="Arial" w:eastAsia="Arial" w:hAnsi="Arial" w:cs="Arial" w:hint="default"/>
        <w:b/>
        <w:bCs/>
        <w:color w:val="211D1E"/>
        <w:spacing w:val="-3"/>
        <w:w w:val="98"/>
        <w:sz w:val="24"/>
        <w:szCs w:val="24"/>
        <w:lang w:val="en-GB" w:eastAsia="en-GB" w:bidi="en-GB"/>
      </w:rPr>
    </w:lvl>
    <w:lvl w:ilvl="1" w:tplc="5A828292">
      <w:start w:val="1"/>
      <w:numFmt w:val="decimal"/>
      <w:lvlText w:val="%2."/>
      <w:lvlJc w:val="left"/>
      <w:pPr>
        <w:ind w:left="1626" w:hanging="269"/>
      </w:pPr>
      <w:rPr>
        <w:rFonts w:ascii="Arial" w:eastAsia="Arial" w:hAnsi="Arial" w:cs="Arial" w:hint="default"/>
        <w:color w:val="221E1F"/>
        <w:w w:val="100"/>
        <w:sz w:val="24"/>
        <w:szCs w:val="24"/>
        <w:lang w:val="en-GB" w:eastAsia="en-GB" w:bidi="en-GB"/>
      </w:rPr>
    </w:lvl>
    <w:lvl w:ilvl="2" w:tplc="B8808236">
      <w:numFmt w:val="bullet"/>
      <w:lvlText w:val="•"/>
      <w:lvlJc w:val="left"/>
      <w:pPr>
        <w:ind w:left="2077" w:hanging="360"/>
      </w:pPr>
      <w:rPr>
        <w:rFonts w:ascii="Arial" w:eastAsia="Arial" w:hAnsi="Arial" w:cs="Arial" w:hint="default"/>
        <w:color w:val="221E1F"/>
        <w:w w:val="98"/>
        <w:sz w:val="24"/>
        <w:szCs w:val="24"/>
        <w:lang w:val="en-GB" w:eastAsia="en-GB" w:bidi="en-GB"/>
      </w:rPr>
    </w:lvl>
    <w:lvl w:ilvl="3" w:tplc="DE505966">
      <w:numFmt w:val="bullet"/>
      <w:lvlText w:val="o"/>
      <w:lvlJc w:val="left"/>
      <w:pPr>
        <w:ind w:left="2490" w:hanging="425"/>
      </w:pPr>
      <w:rPr>
        <w:rFonts w:ascii="Courier New" w:eastAsia="Courier New" w:hAnsi="Courier New" w:cs="Courier New" w:hint="default"/>
        <w:color w:val="221E1F"/>
        <w:w w:val="99"/>
        <w:sz w:val="24"/>
        <w:szCs w:val="24"/>
        <w:lang w:val="en-GB" w:eastAsia="en-GB" w:bidi="en-GB"/>
      </w:rPr>
    </w:lvl>
    <w:lvl w:ilvl="4" w:tplc="FE0A734A">
      <w:numFmt w:val="bullet"/>
      <w:lvlText w:val="•"/>
      <w:lvlJc w:val="left"/>
      <w:pPr>
        <w:ind w:left="3801" w:hanging="425"/>
      </w:pPr>
      <w:rPr>
        <w:rFonts w:hint="default"/>
        <w:lang w:val="en-GB" w:eastAsia="en-GB" w:bidi="en-GB"/>
      </w:rPr>
    </w:lvl>
    <w:lvl w:ilvl="5" w:tplc="7C80E234">
      <w:numFmt w:val="bullet"/>
      <w:lvlText w:val="•"/>
      <w:lvlJc w:val="left"/>
      <w:pPr>
        <w:ind w:left="5103" w:hanging="425"/>
      </w:pPr>
      <w:rPr>
        <w:rFonts w:hint="default"/>
        <w:lang w:val="en-GB" w:eastAsia="en-GB" w:bidi="en-GB"/>
      </w:rPr>
    </w:lvl>
    <w:lvl w:ilvl="6" w:tplc="9CCA570E">
      <w:numFmt w:val="bullet"/>
      <w:lvlText w:val="•"/>
      <w:lvlJc w:val="left"/>
      <w:pPr>
        <w:ind w:left="6404" w:hanging="425"/>
      </w:pPr>
      <w:rPr>
        <w:rFonts w:hint="default"/>
        <w:lang w:val="en-GB" w:eastAsia="en-GB" w:bidi="en-GB"/>
      </w:rPr>
    </w:lvl>
    <w:lvl w:ilvl="7" w:tplc="18BE78C6">
      <w:numFmt w:val="bullet"/>
      <w:lvlText w:val="•"/>
      <w:lvlJc w:val="left"/>
      <w:pPr>
        <w:ind w:left="7706" w:hanging="425"/>
      </w:pPr>
      <w:rPr>
        <w:rFonts w:hint="default"/>
        <w:lang w:val="en-GB" w:eastAsia="en-GB" w:bidi="en-GB"/>
      </w:rPr>
    </w:lvl>
    <w:lvl w:ilvl="8" w:tplc="BDE6A82E">
      <w:numFmt w:val="bullet"/>
      <w:lvlText w:val="•"/>
      <w:lvlJc w:val="left"/>
      <w:pPr>
        <w:ind w:left="9008" w:hanging="425"/>
      </w:pPr>
      <w:rPr>
        <w:rFonts w:hint="default"/>
        <w:lang w:val="en-GB" w:eastAsia="en-GB" w:bidi="en-GB"/>
      </w:rPr>
    </w:lvl>
  </w:abstractNum>
  <w:abstractNum w:abstractNumId="1" w15:restartNumberingAfterBreak="0">
    <w:nsid w:val="1AA90BFE"/>
    <w:multiLevelType w:val="hybridMultilevel"/>
    <w:tmpl w:val="C05E4AC2"/>
    <w:lvl w:ilvl="0" w:tplc="5BD43592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8"/>
    <w:rsid w:val="00140AC8"/>
    <w:rsid w:val="009F09BA"/>
    <w:rsid w:val="00E502FC"/>
    <w:rsid w:val="00F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C2B4"/>
  <w15:chartTrackingRefBased/>
  <w15:docId w15:val="{0DFDD79F-68B4-4C3A-892B-B83C6D88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0A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3">
    <w:name w:val="heading 3"/>
    <w:basedOn w:val="Normal"/>
    <w:link w:val="Heading3Char"/>
    <w:uiPriority w:val="1"/>
    <w:qFormat/>
    <w:rsid w:val="00140AC8"/>
    <w:pPr>
      <w:ind w:left="1357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40AC8"/>
    <w:rPr>
      <w:rFonts w:ascii="Arial" w:eastAsia="Arial" w:hAnsi="Arial" w:cs="Arial"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40AC8"/>
  </w:style>
  <w:style w:type="character" w:customStyle="1" w:styleId="BodyTextChar">
    <w:name w:val="Body Text Char"/>
    <w:basedOn w:val="DefaultParagraphFont"/>
    <w:link w:val="BodyText"/>
    <w:uiPriority w:val="1"/>
    <w:rsid w:val="00140AC8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140AC8"/>
    <w:pPr>
      <w:ind w:left="137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Green</dc:creator>
  <cp:keywords/>
  <dc:description/>
  <cp:lastModifiedBy>Jacqueline Green</cp:lastModifiedBy>
  <cp:revision>3</cp:revision>
  <dcterms:created xsi:type="dcterms:W3CDTF">2020-09-24T14:19:00Z</dcterms:created>
  <dcterms:modified xsi:type="dcterms:W3CDTF">2020-11-03T13:56:00Z</dcterms:modified>
</cp:coreProperties>
</file>