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Task 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Current arrangement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Proposed New Arrangement</w:t>
            </w:r>
          </w:p>
        </w:tc>
        <w:tc>
          <w:tcPr>
            <w:tcW w:w="2835" w:type="dxa"/>
          </w:tcPr>
          <w:p w:rsidR="00D466D2" w:rsidRDefault="007B1987" w:rsidP="00D466D2">
            <w:pPr>
              <w:rPr>
                <w:szCs w:val="24"/>
              </w:rPr>
            </w:pPr>
            <w:r>
              <w:rPr>
                <w:szCs w:val="24"/>
              </w:rPr>
              <w:t xml:space="preserve">Current Research </w:t>
            </w:r>
            <w:r w:rsidR="00D466D2">
              <w:rPr>
                <w:szCs w:val="24"/>
              </w:rPr>
              <w:t xml:space="preserve">Regulations reference 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Comment</w:t>
            </w:r>
          </w:p>
        </w:tc>
      </w:tr>
      <w:tr w:rsidR="00D466D2" w:rsidTr="00D466D2">
        <w:tc>
          <w:tcPr>
            <w:tcW w:w="2834" w:type="dxa"/>
          </w:tcPr>
          <w:p w:rsidR="00D466D2" w:rsidRDefault="00ED0E5A" w:rsidP="00ED0E5A">
            <w:pPr>
              <w:rPr>
                <w:szCs w:val="24"/>
              </w:rPr>
            </w:pPr>
            <w:r>
              <w:rPr>
                <w:szCs w:val="24"/>
              </w:rPr>
              <w:t>To r</w:t>
            </w:r>
            <w:r w:rsidR="00D466D2">
              <w:rPr>
                <w:szCs w:val="24"/>
              </w:rPr>
              <w:t xml:space="preserve">ecommend </w:t>
            </w:r>
            <w:r>
              <w:rPr>
                <w:szCs w:val="24"/>
              </w:rPr>
              <w:t xml:space="preserve">the </w:t>
            </w:r>
            <w:r w:rsidR="00D466D2">
              <w:rPr>
                <w:szCs w:val="24"/>
              </w:rPr>
              <w:t>registration of</w:t>
            </w:r>
            <w:r>
              <w:rPr>
                <w:szCs w:val="24"/>
              </w:rPr>
              <w:t xml:space="preserve"> a </w:t>
            </w:r>
            <w:r w:rsidR="00D466D2">
              <w:rPr>
                <w:szCs w:val="24"/>
              </w:rPr>
              <w:t>research student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HoD or nominee</w:t>
            </w:r>
          </w:p>
        </w:tc>
        <w:tc>
          <w:tcPr>
            <w:tcW w:w="2835" w:type="dxa"/>
          </w:tcPr>
          <w:p w:rsidR="00D466D2" w:rsidRPr="005A4B19" w:rsidRDefault="005A4B19" w:rsidP="009E09DC">
            <w:pPr>
              <w:rPr>
                <w:b/>
                <w:szCs w:val="24"/>
              </w:rPr>
            </w:pPr>
            <w:r w:rsidRPr="009E09DC">
              <w:rPr>
                <w:szCs w:val="24"/>
              </w:rPr>
              <w:t>Dean of School</w:t>
            </w:r>
            <w:r w:rsidR="009E09DC" w:rsidRPr="009E09DC">
              <w:rPr>
                <w:szCs w:val="24"/>
              </w:rPr>
              <w:t xml:space="preserve"> or their nominee who shall normally be the ADR of the School</w:t>
            </w:r>
            <w:r w:rsidR="009E09DC">
              <w:rPr>
                <w:b/>
                <w:szCs w:val="24"/>
              </w:rPr>
              <w:t>.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Paragraph 4.1</w:t>
            </w:r>
          </w:p>
        </w:tc>
        <w:tc>
          <w:tcPr>
            <w:tcW w:w="2835" w:type="dxa"/>
          </w:tcPr>
          <w:p w:rsidR="00D466D2" w:rsidRDefault="00D466D2" w:rsidP="009E09DC">
            <w:pPr>
              <w:rPr>
                <w:szCs w:val="24"/>
              </w:rPr>
            </w:pPr>
            <w:r>
              <w:rPr>
                <w:szCs w:val="24"/>
              </w:rPr>
              <w:t xml:space="preserve">This </w:t>
            </w:r>
            <w:r w:rsidR="009E09DC">
              <w:rPr>
                <w:szCs w:val="24"/>
              </w:rPr>
              <w:t>relates to</w:t>
            </w:r>
            <w:r>
              <w:rPr>
                <w:szCs w:val="24"/>
              </w:rPr>
              <w:t xml:space="preserve"> the nomination of supervisors and workload distribution. The point at which this is actioned is the </w:t>
            </w:r>
            <w:r w:rsidR="00752CC4">
              <w:rPr>
                <w:szCs w:val="24"/>
              </w:rPr>
              <w:t>signing of</w:t>
            </w:r>
            <w:r>
              <w:rPr>
                <w:szCs w:val="24"/>
              </w:rPr>
              <w:t xml:space="preserve"> the application form to authorise an offer. </w:t>
            </w:r>
          </w:p>
        </w:tc>
      </w:tr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Appoint supervisors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HoD</w:t>
            </w:r>
          </w:p>
        </w:tc>
        <w:tc>
          <w:tcPr>
            <w:tcW w:w="2835" w:type="dxa"/>
          </w:tcPr>
          <w:p w:rsidR="00D466D2" w:rsidRPr="009E09DC" w:rsidRDefault="005A4B19" w:rsidP="009E09DC">
            <w:pPr>
              <w:rPr>
                <w:szCs w:val="24"/>
              </w:rPr>
            </w:pPr>
            <w:r w:rsidRPr="009E09DC">
              <w:rPr>
                <w:szCs w:val="24"/>
              </w:rPr>
              <w:t>Dean of School</w:t>
            </w:r>
            <w:r w:rsidR="009E09DC" w:rsidRPr="009E09DC">
              <w:rPr>
                <w:szCs w:val="24"/>
              </w:rPr>
              <w:t xml:space="preserve"> or their nominee who shall normally be the </w:t>
            </w:r>
            <w:r w:rsidRPr="009E09DC">
              <w:rPr>
                <w:szCs w:val="24"/>
              </w:rPr>
              <w:t xml:space="preserve"> ADR 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Paragraph 4.1</w:t>
            </w:r>
          </w:p>
        </w:tc>
        <w:tc>
          <w:tcPr>
            <w:tcW w:w="2835" w:type="dxa"/>
          </w:tcPr>
          <w:p w:rsidR="00D466D2" w:rsidRDefault="00752CC4" w:rsidP="009E09DC">
            <w:pPr>
              <w:rPr>
                <w:szCs w:val="24"/>
              </w:rPr>
            </w:pPr>
            <w:r>
              <w:rPr>
                <w:szCs w:val="24"/>
              </w:rPr>
              <w:t>Supervisors are</w:t>
            </w:r>
            <w:r w:rsidR="00ED0E5A">
              <w:rPr>
                <w:szCs w:val="24"/>
              </w:rPr>
              <w:t xml:space="preserve"> </w:t>
            </w:r>
            <w:r w:rsidR="00D466D2">
              <w:rPr>
                <w:szCs w:val="24"/>
              </w:rPr>
              <w:t>Identified at</w:t>
            </w:r>
            <w:r w:rsidR="00ED0E5A">
              <w:rPr>
                <w:szCs w:val="24"/>
              </w:rPr>
              <w:t xml:space="preserve"> </w:t>
            </w:r>
            <w:r>
              <w:rPr>
                <w:szCs w:val="24"/>
              </w:rPr>
              <w:t>the offer</w:t>
            </w:r>
            <w:r w:rsidR="00D466D2">
              <w:rPr>
                <w:szCs w:val="24"/>
              </w:rPr>
              <w:t xml:space="preserve"> stage. </w:t>
            </w:r>
            <w:r w:rsidR="009E09DC">
              <w:rPr>
                <w:szCs w:val="24"/>
              </w:rPr>
              <w:t xml:space="preserve">Currently under the </w:t>
            </w:r>
            <w:r w:rsidR="00D466D2">
              <w:rPr>
                <w:szCs w:val="24"/>
              </w:rPr>
              <w:t xml:space="preserve">Code of Practice </w:t>
            </w:r>
            <w:r>
              <w:rPr>
                <w:szCs w:val="24"/>
              </w:rPr>
              <w:t>the HoD</w:t>
            </w:r>
            <w:r w:rsidR="00D466D2">
              <w:rPr>
                <w:szCs w:val="24"/>
              </w:rPr>
              <w:t xml:space="preserve"> can determine who can act as supervisor</w:t>
            </w:r>
            <w:r w:rsidR="00ED0E5A">
              <w:rPr>
                <w:szCs w:val="24"/>
              </w:rPr>
              <w:t>. The issue here is whether anyone other than the Dean of School should sign off the appointment of Supervisors given the potential resource implications.</w:t>
            </w:r>
          </w:p>
        </w:tc>
      </w:tr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Appoint Directors of Research Degree Programmes for individual students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HoD</w:t>
            </w:r>
          </w:p>
        </w:tc>
        <w:tc>
          <w:tcPr>
            <w:tcW w:w="2835" w:type="dxa"/>
          </w:tcPr>
          <w:p w:rsidR="00D466D2" w:rsidRPr="009E09DC" w:rsidRDefault="009E09DC" w:rsidP="00ED0E5A">
            <w:pPr>
              <w:rPr>
                <w:szCs w:val="24"/>
              </w:rPr>
            </w:pPr>
            <w:r w:rsidRPr="009E09DC">
              <w:rPr>
                <w:szCs w:val="24"/>
              </w:rPr>
              <w:t>Dean of the School or their nominee who shall normally be the ADR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 xml:space="preserve">Paragraph 4.1 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Identified at offer stage</w:t>
            </w:r>
            <w:r w:rsidR="009E68F9">
              <w:rPr>
                <w:szCs w:val="24"/>
              </w:rPr>
              <w:t>.</w:t>
            </w:r>
          </w:p>
          <w:p w:rsidR="009E68F9" w:rsidRDefault="009E68F9" w:rsidP="00D466D2">
            <w:pPr>
              <w:rPr>
                <w:szCs w:val="24"/>
              </w:rPr>
            </w:pPr>
            <w:r>
              <w:rPr>
                <w:szCs w:val="24"/>
              </w:rPr>
              <w:t>Dean of School could identify group of DoRPs but ADR allocate to individual students</w:t>
            </w:r>
          </w:p>
        </w:tc>
      </w:tr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Approve programme of research at a location other than LU</w:t>
            </w:r>
          </w:p>
        </w:tc>
        <w:tc>
          <w:tcPr>
            <w:tcW w:w="2835" w:type="dxa"/>
          </w:tcPr>
          <w:p w:rsidR="00D466D2" w:rsidRDefault="00D466D2" w:rsidP="00ED0E5A">
            <w:pPr>
              <w:rPr>
                <w:szCs w:val="24"/>
              </w:rPr>
            </w:pPr>
            <w:r>
              <w:rPr>
                <w:szCs w:val="24"/>
              </w:rPr>
              <w:t>ADR</w:t>
            </w:r>
            <w:r w:rsidR="00ED0E5A">
              <w:rPr>
                <w:szCs w:val="24"/>
              </w:rPr>
              <w:t xml:space="preserve"> of Faculty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ADR of School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Paragraph 4.4.1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</w:p>
        </w:tc>
      </w:tr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Termination of Registration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HoD</w:t>
            </w:r>
          </w:p>
        </w:tc>
        <w:tc>
          <w:tcPr>
            <w:tcW w:w="2835" w:type="dxa"/>
          </w:tcPr>
          <w:p w:rsidR="00D466D2" w:rsidRDefault="00ED249A" w:rsidP="00D466D2">
            <w:pPr>
              <w:rPr>
                <w:szCs w:val="24"/>
              </w:rPr>
            </w:pPr>
            <w:r>
              <w:rPr>
                <w:szCs w:val="24"/>
              </w:rPr>
              <w:t>Dean of School or Nominee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Paragraph 4.6</w:t>
            </w:r>
          </w:p>
        </w:tc>
        <w:tc>
          <w:tcPr>
            <w:tcW w:w="2835" w:type="dxa"/>
          </w:tcPr>
          <w:p w:rsidR="00D466D2" w:rsidRDefault="00D466D2" w:rsidP="00ED0E5A">
            <w:pPr>
              <w:rPr>
                <w:szCs w:val="24"/>
              </w:rPr>
            </w:pPr>
          </w:p>
        </w:tc>
      </w:tr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Staff and Graduate Registrations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Approved by HoD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 xml:space="preserve">ADR  of School 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Paragraph 6 and 7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</w:p>
        </w:tc>
      </w:tr>
      <w:tr w:rsidR="00D466D2" w:rsidTr="00D466D2">
        <w:tc>
          <w:tcPr>
            <w:tcW w:w="2834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Permission to Submit late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Approved by ADR Faculty on recommendation of Supervisor and HoD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 xml:space="preserve">Dean of Graduate School </w:t>
            </w:r>
            <w:r w:rsidR="00226EB1">
              <w:rPr>
                <w:szCs w:val="24"/>
              </w:rPr>
              <w:t xml:space="preserve">(DGS) </w:t>
            </w:r>
            <w:r>
              <w:rPr>
                <w:szCs w:val="24"/>
              </w:rPr>
              <w:t xml:space="preserve">on recommendation of </w:t>
            </w:r>
            <w:r w:rsidR="00226EB1">
              <w:rPr>
                <w:szCs w:val="24"/>
              </w:rPr>
              <w:t>Supervisor (</w:t>
            </w:r>
            <w:r>
              <w:rPr>
                <w:szCs w:val="24"/>
              </w:rPr>
              <w:t xml:space="preserve">SR </w:t>
            </w:r>
            <w:r w:rsidR="00226EB1">
              <w:rPr>
                <w:szCs w:val="24"/>
              </w:rPr>
              <w:t xml:space="preserve">) </w:t>
            </w:r>
            <w:r>
              <w:rPr>
                <w:szCs w:val="24"/>
              </w:rPr>
              <w:t>and ADR( School)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Paragraph 5.3 I and ii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</w:p>
        </w:tc>
      </w:tr>
      <w:tr w:rsidR="00D466D2" w:rsidTr="008A137A">
        <w:tc>
          <w:tcPr>
            <w:tcW w:w="2834" w:type="dxa"/>
            <w:tcBorders>
              <w:bottom w:val="single" w:sz="4" w:space="0" w:color="auto"/>
            </w:tcBorders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Approval of submission of thesis in language other than English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>HoD in consultation with ADR Faculty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  <w:r>
              <w:rPr>
                <w:szCs w:val="24"/>
              </w:rPr>
              <w:t xml:space="preserve">Paragraph </w:t>
            </w:r>
            <w:r w:rsidR="00637353"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D466D2" w:rsidRPr="00F348FF" w:rsidRDefault="005A4B19" w:rsidP="00D466D2">
            <w:pPr>
              <w:rPr>
                <w:szCs w:val="24"/>
              </w:rPr>
            </w:pPr>
            <w:r w:rsidRPr="00F348FF">
              <w:rPr>
                <w:szCs w:val="24"/>
              </w:rPr>
              <w:t>Regulation to be deleted</w:t>
            </w:r>
          </w:p>
        </w:tc>
      </w:tr>
      <w:tr w:rsidR="00D466D2" w:rsidTr="008A137A">
        <w:trPr>
          <w:trHeight w:val="2731"/>
        </w:trPr>
        <w:tc>
          <w:tcPr>
            <w:tcW w:w="2834" w:type="dxa"/>
          </w:tcPr>
          <w:p w:rsidR="00D466D2" w:rsidRDefault="00637353" w:rsidP="00ED0E5A">
            <w:pPr>
              <w:rPr>
                <w:szCs w:val="24"/>
              </w:rPr>
            </w:pPr>
            <w:r>
              <w:rPr>
                <w:szCs w:val="24"/>
              </w:rPr>
              <w:t xml:space="preserve">Appointment of </w:t>
            </w:r>
            <w:r w:rsidR="00ED0E5A">
              <w:rPr>
                <w:szCs w:val="24"/>
              </w:rPr>
              <w:t>E</w:t>
            </w:r>
            <w:r>
              <w:rPr>
                <w:szCs w:val="24"/>
              </w:rPr>
              <w:t xml:space="preserve">xaminers </w:t>
            </w:r>
          </w:p>
        </w:tc>
        <w:tc>
          <w:tcPr>
            <w:tcW w:w="2835" w:type="dxa"/>
          </w:tcPr>
          <w:p w:rsidR="00D466D2" w:rsidRPr="00F348FF" w:rsidRDefault="00637353" w:rsidP="00D466D2">
            <w:pPr>
              <w:rPr>
                <w:szCs w:val="24"/>
              </w:rPr>
            </w:pPr>
            <w:r w:rsidRPr="00F348FF">
              <w:rPr>
                <w:szCs w:val="24"/>
              </w:rPr>
              <w:t>ADR Faculty on recommendation of SR and HoD</w:t>
            </w:r>
          </w:p>
          <w:p w:rsidR="008A137A" w:rsidRPr="00F348FF" w:rsidRDefault="008A137A" w:rsidP="00D466D2">
            <w:pPr>
              <w:rPr>
                <w:szCs w:val="24"/>
              </w:rPr>
            </w:pPr>
          </w:p>
          <w:p w:rsidR="008A137A" w:rsidRDefault="008A137A" w:rsidP="00D466D2">
            <w:pPr>
              <w:rPr>
                <w:i/>
                <w:szCs w:val="24"/>
              </w:rPr>
            </w:pPr>
          </w:p>
          <w:p w:rsidR="008A137A" w:rsidRPr="008A137A" w:rsidRDefault="008A137A" w:rsidP="00D466D2">
            <w:pPr>
              <w:rPr>
                <w:i/>
                <w:szCs w:val="24"/>
              </w:rPr>
            </w:pPr>
          </w:p>
        </w:tc>
        <w:tc>
          <w:tcPr>
            <w:tcW w:w="2835" w:type="dxa"/>
          </w:tcPr>
          <w:p w:rsidR="00D466D2" w:rsidRDefault="00637353" w:rsidP="00ED0E5A">
            <w:pPr>
              <w:rPr>
                <w:szCs w:val="24"/>
              </w:rPr>
            </w:pPr>
            <w:r>
              <w:rPr>
                <w:szCs w:val="24"/>
              </w:rPr>
              <w:t xml:space="preserve">DGS on recommendation of SR </w:t>
            </w:r>
            <w:r w:rsidR="00ED0E5A">
              <w:rPr>
                <w:szCs w:val="24"/>
              </w:rPr>
              <w:t xml:space="preserve"> and ADR School</w:t>
            </w:r>
          </w:p>
        </w:tc>
        <w:tc>
          <w:tcPr>
            <w:tcW w:w="2835" w:type="dxa"/>
          </w:tcPr>
          <w:p w:rsidR="00D466D2" w:rsidRDefault="00637353" w:rsidP="00637353">
            <w:pPr>
              <w:rPr>
                <w:szCs w:val="24"/>
              </w:rPr>
            </w:pPr>
            <w:r>
              <w:rPr>
                <w:szCs w:val="24"/>
              </w:rPr>
              <w:t>Paragraph 10.1 and .2</w:t>
            </w:r>
          </w:p>
        </w:tc>
        <w:tc>
          <w:tcPr>
            <w:tcW w:w="2835" w:type="dxa"/>
          </w:tcPr>
          <w:p w:rsidR="00D466D2" w:rsidRDefault="00D466D2" w:rsidP="00D466D2">
            <w:pPr>
              <w:rPr>
                <w:szCs w:val="24"/>
              </w:rPr>
            </w:pPr>
          </w:p>
        </w:tc>
      </w:tr>
    </w:tbl>
    <w:p w:rsidR="000C7B92" w:rsidRPr="00D466D2" w:rsidRDefault="000C7B92" w:rsidP="00D466D2">
      <w:pPr>
        <w:rPr>
          <w:szCs w:val="24"/>
        </w:rPr>
      </w:pPr>
    </w:p>
    <w:sectPr w:rsidR="000C7B92" w:rsidRPr="00D466D2" w:rsidSect="00D46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78" w:rsidRDefault="00352478" w:rsidP="00B66A03">
      <w:pPr>
        <w:spacing w:after="0" w:line="240" w:lineRule="auto"/>
      </w:pPr>
      <w:r>
        <w:separator/>
      </w:r>
    </w:p>
  </w:endnote>
  <w:endnote w:type="continuationSeparator" w:id="0">
    <w:p w:rsidR="00352478" w:rsidRDefault="00352478" w:rsidP="00B6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A8" w:rsidRDefault="00E34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A8" w:rsidRDefault="00E34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A8" w:rsidRDefault="00E34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78" w:rsidRDefault="00352478" w:rsidP="00B66A03">
      <w:pPr>
        <w:spacing w:after="0" w:line="240" w:lineRule="auto"/>
      </w:pPr>
      <w:r>
        <w:separator/>
      </w:r>
    </w:p>
  </w:footnote>
  <w:footnote w:type="continuationSeparator" w:id="0">
    <w:p w:rsidR="00352478" w:rsidRDefault="00352478" w:rsidP="00B6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A8" w:rsidRDefault="00E34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5" w:rsidRDefault="00C52C65" w:rsidP="00C52C65">
    <w:pPr>
      <w:pStyle w:val="Header"/>
      <w:jc w:val="right"/>
    </w:pPr>
    <w:r>
      <w:t>SEN11-P55 ANNEX C(m) 2</w:t>
    </w:r>
  </w:p>
  <w:p w:rsidR="00C52C65" w:rsidRDefault="00C52C65" w:rsidP="00C52C65">
    <w:pPr>
      <w:pStyle w:val="Header"/>
      <w:jc w:val="right"/>
    </w:pPr>
    <w:r>
      <w:t>8 July 2011</w:t>
    </w:r>
  </w:p>
  <w:p w:rsidR="00352478" w:rsidRDefault="00352478">
    <w:pPr>
      <w:pStyle w:val="Header"/>
    </w:pPr>
  </w:p>
  <w:p w:rsidR="00352478" w:rsidRDefault="00752CC4">
    <w:pPr>
      <w:pStyle w:val="Header"/>
    </w:pPr>
    <w:r>
      <w:t>Summary</w:t>
    </w:r>
    <w:r w:rsidR="00352478">
      <w:t xml:space="preserve"> of Changes to Research Degree Regulations</w:t>
    </w:r>
  </w:p>
  <w:p w:rsidR="00352478" w:rsidRDefault="0035247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A8" w:rsidRDefault="00E3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2"/>
    <w:rsid w:val="00004E8D"/>
    <w:rsid w:val="00032AD3"/>
    <w:rsid w:val="000352B5"/>
    <w:rsid w:val="00075121"/>
    <w:rsid w:val="0008015C"/>
    <w:rsid w:val="000C7B92"/>
    <w:rsid w:val="000E5062"/>
    <w:rsid w:val="00134D80"/>
    <w:rsid w:val="00142789"/>
    <w:rsid w:val="00154E05"/>
    <w:rsid w:val="0016499C"/>
    <w:rsid w:val="001673BF"/>
    <w:rsid w:val="0017114D"/>
    <w:rsid w:val="001B4809"/>
    <w:rsid w:val="001E776F"/>
    <w:rsid w:val="002169EF"/>
    <w:rsid w:val="00226EB1"/>
    <w:rsid w:val="002460F2"/>
    <w:rsid w:val="002A4FE5"/>
    <w:rsid w:val="002E1A9D"/>
    <w:rsid w:val="00303477"/>
    <w:rsid w:val="00342615"/>
    <w:rsid w:val="00352478"/>
    <w:rsid w:val="003D1F07"/>
    <w:rsid w:val="003D2E3A"/>
    <w:rsid w:val="00447923"/>
    <w:rsid w:val="004827F7"/>
    <w:rsid w:val="004848CB"/>
    <w:rsid w:val="004B5AAC"/>
    <w:rsid w:val="004C1E04"/>
    <w:rsid w:val="004C2CD7"/>
    <w:rsid w:val="00571809"/>
    <w:rsid w:val="00591802"/>
    <w:rsid w:val="005A4B19"/>
    <w:rsid w:val="005E3A42"/>
    <w:rsid w:val="00637353"/>
    <w:rsid w:val="00637463"/>
    <w:rsid w:val="006843F5"/>
    <w:rsid w:val="00694818"/>
    <w:rsid w:val="006E0723"/>
    <w:rsid w:val="00746C6C"/>
    <w:rsid w:val="00752CC4"/>
    <w:rsid w:val="007B1724"/>
    <w:rsid w:val="007B1987"/>
    <w:rsid w:val="007C4128"/>
    <w:rsid w:val="007D1DA1"/>
    <w:rsid w:val="007E6B38"/>
    <w:rsid w:val="008050F7"/>
    <w:rsid w:val="0080529C"/>
    <w:rsid w:val="00820EF3"/>
    <w:rsid w:val="00857690"/>
    <w:rsid w:val="0087231D"/>
    <w:rsid w:val="008936A8"/>
    <w:rsid w:val="008A137A"/>
    <w:rsid w:val="008A696A"/>
    <w:rsid w:val="009C30C0"/>
    <w:rsid w:val="009C6351"/>
    <w:rsid w:val="009D0127"/>
    <w:rsid w:val="009E09DC"/>
    <w:rsid w:val="009E68F9"/>
    <w:rsid w:val="00A36483"/>
    <w:rsid w:val="00A37FBA"/>
    <w:rsid w:val="00A827E3"/>
    <w:rsid w:val="00AF3DDB"/>
    <w:rsid w:val="00B66A03"/>
    <w:rsid w:val="00B76847"/>
    <w:rsid w:val="00B76932"/>
    <w:rsid w:val="00BD3E4B"/>
    <w:rsid w:val="00C128C1"/>
    <w:rsid w:val="00C25839"/>
    <w:rsid w:val="00C469C8"/>
    <w:rsid w:val="00C52C65"/>
    <w:rsid w:val="00C671DB"/>
    <w:rsid w:val="00C97E03"/>
    <w:rsid w:val="00CC7767"/>
    <w:rsid w:val="00D114DA"/>
    <w:rsid w:val="00D466D2"/>
    <w:rsid w:val="00D664FC"/>
    <w:rsid w:val="00D93CFB"/>
    <w:rsid w:val="00DE4975"/>
    <w:rsid w:val="00E21DF4"/>
    <w:rsid w:val="00E34DA8"/>
    <w:rsid w:val="00E867F2"/>
    <w:rsid w:val="00EC07D3"/>
    <w:rsid w:val="00ED0E5A"/>
    <w:rsid w:val="00ED249A"/>
    <w:rsid w:val="00F15793"/>
    <w:rsid w:val="00F348FF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03"/>
  </w:style>
  <w:style w:type="paragraph" w:styleId="Footer">
    <w:name w:val="footer"/>
    <w:basedOn w:val="Normal"/>
    <w:link w:val="FooterChar"/>
    <w:uiPriority w:val="99"/>
    <w:unhideWhenUsed/>
    <w:rsid w:val="00B6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03"/>
  </w:style>
  <w:style w:type="paragraph" w:styleId="BalloonText">
    <w:name w:val="Balloon Text"/>
    <w:basedOn w:val="Normal"/>
    <w:link w:val="BalloonTextChar"/>
    <w:uiPriority w:val="99"/>
    <w:semiHidden/>
    <w:unhideWhenUsed/>
    <w:rsid w:val="00B6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03"/>
  </w:style>
  <w:style w:type="paragraph" w:styleId="Footer">
    <w:name w:val="footer"/>
    <w:basedOn w:val="Normal"/>
    <w:link w:val="FooterChar"/>
    <w:uiPriority w:val="99"/>
    <w:unhideWhenUsed/>
    <w:rsid w:val="00B6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03"/>
  </w:style>
  <w:style w:type="paragraph" w:styleId="BalloonText">
    <w:name w:val="Balloon Text"/>
    <w:basedOn w:val="Normal"/>
    <w:link w:val="BalloonTextChar"/>
    <w:uiPriority w:val="99"/>
    <w:semiHidden/>
    <w:unhideWhenUsed/>
    <w:rsid w:val="00B6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2</cp:revision>
  <dcterms:created xsi:type="dcterms:W3CDTF">2011-07-05T10:01:00Z</dcterms:created>
  <dcterms:modified xsi:type="dcterms:W3CDTF">2011-07-05T10:01:00Z</dcterms:modified>
</cp:coreProperties>
</file>