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Layout w:type="fixed"/>
        <w:tblCellMar>
          <w:left w:w="80" w:type="dxa"/>
          <w:right w:w="80" w:type="dxa"/>
        </w:tblCellMar>
        <w:tblLook w:val="0000"/>
      </w:tblPr>
      <w:tblGrid>
        <w:gridCol w:w="5760"/>
        <w:gridCol w:w="3600"/>
      </w:tblGrid>
      <w:tr w:rsidR="00C335F4">
        <w:tblPrEx>
          <w:tblCellMar>
            <w:top w:w="0" w:type="dxa"/>
            <w:bottom w:w="0" w:type="dxa"/>
          </w:tblCellMar>
        </w:tblPrEx>
        <w:trPr>
          <w:cantSplit/>
          <w:trHeight w:val="2281"/>
        </w:trPr>
        <w:tc>
          <w:tcPr>
            <w:tcW w:w="5760" w:type="dxa"/>
          </w:tcPr>
          <w:p w:rsidR="00C335F4" w:rsidRDefault="00C335F4">
            <w:pPr>
              <w:spacing w:before="120"/>
              <w:ind w:right="26"/>
              <w:jc w:val="both"/>
              <w:rPr>
                <w:rFonts w:ascii="Arial" w:hAnsi="Arial" w:cs="Arial"/>
                <w:b/>
                <w:sz w:val="44"/>
              </w:rPr>
            </w:pPr>
          </w:p>
        </w:tc>
        <w:tc>
          <w:tcPr>
            <w:tcW w:w="3600" w:type="dxa"/>
          </w:tcPr>
          <w:p w:rsidR="00C335F4" w:rsidRDefault="00C335F4">
            <w:pPr>
              <w:rPr>
                <w:rFonts w:ascii="Arial" w:hAnsi="Arial" w:cs="Arial"/>
                <w:noProof/>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5pt;height:40.75pt" fillcolor="window">
                  <v:imagedata r:id="rId7" o:title=""/>
                </v:shape>
              </w:pict>
            </w:r>
          </w:p>
          <w:p w:rsidR="00C335F4" w:rsidRDefault="00C335F4">
            <w:pPr>
              <w:spacing w:after="1100"/>
              <w:ind w:right="26"/>
              <w:jc w:val="both"/>
              <w:rPr>
                <w:rFonts w:ascii="Arial" w:hAnsi="Arial" w:cs="Arial"/>
              </w:rPr>
            </w:pPr>
          </w:p>
        </w:tc>
      </w:tr>
    </w:tbl>
    <w:p w:rsidR="00C335F4" w:rsidRPr="009730FD" w:rsidRDefault="00C335F4">
      <w:pPr>
        <w:pStyle w:val="H3"/>
        <w:keepNext w:val="0"/>
        <w:tabs>
          <w:tab w:val="left" w:pos="1170"/>
        </w:tabs>
        <w:outlineLvl w:val="9"/>
        <w:rPr>
          <w:rFonts w:ascii="Arial" w:hAnsi="Arial" w:cs="Arial"/>
          <w:sz w:val="36"/>
        </w:rPr>
      </w:pPr>
      <w:r w:rsidRPr="009730FD">
        <w:rPr>
          <w:rFonts w:ascii="Arial" w:hAnsi="Arial" w:cs="Arial"/>
          <w:sz w:val="36"/>
        </w:rPr>
        <w:t xml:space="preserve">Senate </w:t>
      </w:r>
    </w:p>
    <w:p w:rsidR="00C335F4" w:rsidRDefault="00C335F4" w:rsidP="007F268C">
      <w:pPr>
        <w:spacing w:before="0" w:after="0"/>
        <w:ind w:left="1077" w:right="-62" w:hanging="1077"/>
        <w:rPr>
          <w:b/>
          <w:sz w:val="20"/>
        </w:rPr>
      </w:pPr>
      <w:r w:rsidRPr="002B676A">
        <w:rPr>
          <w:rFonts w:ascii="Arial" w:hAnsi="Arial" w:cs="Arial"/>
          <w:b/>
          <w:sz w:val="26"/>
        </w:rPr>
        <w:t>Subject:</w:t>
      </w:r>
      <w:r>
        <w:rPr>
          <w:rFonts w:ascii="Arial" w:hAnsi="Arial" w:cs="Arial"/>
          <w:sz w:val="26"/>
        </w:rPr>
        <w:tab/>
      </w:r>
      <w:r w:rsidRPr="002B676A">
        <w:rPr>
          <w:rFonts w:ascii="Arial" w:hAnsi="Arial"/>
          <w:sz w:val="22"/>
        </w:rPr>
        <w:t>Full-time Undergraduate and Taught Postgraduate Recruitment Report 201</w:t>
      </w:r>
      <w:r>
        <w:rPr>
          <w:rFonts w:ascii="Arial" w:hAnsi="Arial"/>
          <w:sz w:val="22"/>
        </w:rPr>
        <w:t>1</w:t>
      </w:r>
      <w:r w:rsidRPr="002B676A">
        <w:rPr>
          <w:rFonts w:ascii="Arial" w:hAnsi="Arial"/>
          <w:sz w:val="22"/>
        </w:rPr>
        <w:t xml:space="preserve"> entry</w:t>
      </w:r>
    </w:p>
    <w:p w:rsidR="007F268C" w:rsidRDefault="007F268C" w:rsidP="007F268C">
      <w:pPr>
        <w:spacing w:before="0" w:after="0"/>
        <w:ind w:left="1077" w:right="-62" w:hanging="1077"/>
        <w:rPr>
          <w:b/>
          <w:sz w:val="20"/>
        </w:rPr>
      </w:pPr>
    </w:p>
    <w:p w:rsidR="007F268C" w:rsidRPr="002B676A" w:rsidRDefault="007F268C" w:rsidP="007F268C">
      <w:pPr>
        <w:spacing w:before="0" w:after="0"/>
        <w:ind w:left="1080" w:right="-64" w:hanging="1080"/>
        <w:rPr>
          <w:rFonts w:ascii="Arial" w:hAnsi="Arial"/>
          <w:sz w:val="22"/>
        </w:rPr>
      </w:pPr>
      <w:r>
        <w:rPr>
          <w:rFonts w:ascii="Arial" w:hAnsi="Arial" w:cs="Arial"/>
          <w:b/>
          <w:sz w:val="26"/>
        </w:rPr>
        <w:t>Origin:</w:t>
      </w:r>
      <w:r>
        <w:rPr>
          <w:rFonts w:ascii="Arial" w:hAnsi="Arial" w:cs="Arial"/>
          <w:b/>
          <w:sz w:val="26"/>
        </w:rPr>
        <w:tab/>
      </w:r>
      <w:r>
        <w:rPr>
          <w:rFonts w:ascii="Arial" w:hAnsi="Arial"/>
          <w:sz w:val="22"/>
        </w:rPr>
        <w:t>Pro Vice-</w:t>
      </w:r>
      <w:r w:rsidRPr="002B676A">
        <w:rPr>
          <w:rFonts w:ascii="Arial" w:hAnsi="Arial"/>
          <w:sz w:val="22"/>
        </w:rPr>
        <w:t>Chancellor (Teaching)</w:t>
      </w:r>
    </w:p>
    <w:p w:rsidR="007F268C" w:rsidRPr="002B676A" w:rsidRDefault="007F268C" w:rsidP="007F268C">
      <w:pPr>
        <w:spacing w:before="0" w:after="0"/>
        <w:ind w:left="1080" w:right="-64" w:hanging="1080"/>
        <w:rPr>
          <w:rFonts w:ascii="Arial" w:hAnsi="Arial"/>
          <w:sz w:val="22"/>
        </w:rPr>
      </w:pPr>
      <w:r w:rsidRPr="002B676A">
        <w:rPr>
          <w:rFonts w:ascii="Arial" w:hAnsi="Arial"/>
          <w:sz w:val="22"/>
        </w:rPr>
        <w:tab/>
        <w:t>Director of Student Recruitment and Admissions</w:t>
      </w:r>
    </w:p>
    <w:p w:rsidR="007F268C" w:rsidRPr="002B676A" w:rsidRDefault="007F268C" w:rsidP="007F268C">
      <w:pPr>
        <w:tabs>
          <w:tab w:val="left" w:pos="1170"/>
        </w:tabs>
        <w:spacing w:before="0" w:after="0"/>
        <w:outlineLvl w:val="0"/>
        <w:rPr>
          <w:rFonts w:ascii="Arial" w:hAnsi="Arial" w:cs="Arial"/>
          <w:sz w:val="22"/>
        </w:rPr>
      </w:pPr>
    </w:p>
    <w:p w:rsidR="007F268C" w:rsidRDefault="007F268C" w:rsidP="007F268C">
      <w:pPr>
        <w:tabs>
          <w:tab w:val="left" w:pos="1170"/>
          <w:tab w:val="left" w:pos="8910"/>
        </w:tabs>
        <w:rPr>
          <w:rFonts w:ascii="Arial" w:hAnsi="Arial" w:cs="Arial"/>
          <w:b/>
          <w:sz w:val="28"/>
          <w:u w:val="single"/>
        </w:rPr>
      </w:pPr>
      <w:r>
        <w:rPr>
          <w:rFonts w:ascii="Arial" w:hAnsi="Arial" w:cs="Arial"/>
          <w:b/>
          <w:sz w:val="28"/>
          <w:u w:val="single"/>
        </w:rPr>
        <w:tab/>
      </w:r>
      <w:r>
        <w:rPr>
          <w:rFonts w:ascii="Arial" w:hAnsi="Arial" w:cs="Arial"/>
          <w:b/>
          <w:sz w:val="28"/>
          <w:u w:val="single"/>
        </w:rPr>
        <w:tab/>
      </w:r>
    </w:p>
    <w:p w:rsidR="007F268C" w:rsidRPr="007D50F3" w:rsidRDefault="007F268C" w:rsidP="007F268C">
      <w:pPr>
        <w:pStyle w:val="BodyText"/>
        <w:rPr>
          <w:b/>
          <w:sz w:val="24"/>
        </w:rPr>
      </w:pPr>
      <w:r w:rsidRPr="006761D1">
        <w:rPr>
          <w:b/>
          <w:sz w:val="24"/>
        </w:rPr>
        <w:t xml:space="preserve">Executive Summary: </w:t>
      </w:r>
      <w:r>
        <w:rPr>
          <w:b/>
          <w:sz w:val="24"/>
        </w:rPr>
        <w:t xml:space="preserve"> </w:t>
      </w:r>
      <w:r>
        <w:rPr>
          <w:sz w:val="22"/>
          <w:szCs w:val="22"/>
        </w:rPr>
        <w:t xml:space="preserve">UK/EU undergraduate applications have declined this year, following an increase in the two previous years.  International applications are also behind the comparable position in 2010.  Reasons are provided below. Actions are underway to ameliorate the effects of these decreases and to ensure that entry targets are met.  Applications to taught postgraduate programmes remain buoyant.  </w:t>
      </w:r>
    </w:p>
    <w:p w:rsidR="007F268C" w:rsidRPr="002C1A13" w:rsidRDefault="007F268C" w:rsidP="007F268C">
      <w:pPr>
        <w:tabs>
          <w:tab w:val="left" w:pos="1170"/>
        </w:tabs>
        <w:spacing w:before="0" w:after="0"/>
        <w:outlineLvl w:val="0"/>
        <w:rPr>
          <w:rFonts w:ascii="Arial" w:hAnsi="Arial" w:cs="Arial"/>
          <w:b/>
          <w:sz w:val="26"/>
        </w:rPr>
      </w:pPr>
    </w:p>
    <w:p w:rsidR="007F268C" w:rsidRPr="00CB3830" w:rsidRDefault="007F268C" w:rsidP="007F268C">
      <w:pPr>
        <w:tabs>
          <w:tab w:val="left" w:pos="1170"/>
        </w:tabs>
        <w:spacing w:before="0" w:after="0"/>
        <w:outlineLvl w:val="0"/>
        <w:rPr>
          <w:rFonts w:ascii="Arial" w:hAnsi="Arial" w:cs="Arial"/>
          <w:b/>
        </w:rPr>
      </w:pPr>
      <w:r w:rsidRPr="006761D1">
        <w:rPr>
          <w:rFonts w:ascii="Arial" w:hAnsi="Arial" w:cs="Arial"/>
          <w:b/>
        </w:rPr>
        <w:t>Senate Action Required:</w:t>
      </w:r>
      <w:r>
        <w:rPr>
          <w:rFonts w:ascii="Arial" w:hAnsi="Arial" w:cs="Arial"/>
          <w:b/>
        </w:rPr>
        <w:t xml:space="preserve">  </w:t>
      </w:r>
      <w:r w:rsidRPr="002B676A">
        <w:rPr>
          <w:rFonts w:ascii="Arial" w:hAnsi="Arial"/>
          <w:sz w:val="22"/>
          <w:szCs w:val="22"/>
        </w:rPr>
        <w:t>Senate is asked to note the content of the paper</w:t>
      </w:r>
    </w:p>
    <w:p w:rsidR="007F268C" w:rsidRDefault="007F268C" w:rsidP="007F268C">
      <w:pPr>
        <w:tabs>
          <w:tab w:val="left" w:pos="1170"/>
          <w:tab w:val="left" w:pos="8910"/>
        </w:tabs>
        <w:spacing w:before="0" w:after="0"/>
        <w:rPr>
          <w:rFonts w:ascii="Arial" w:hAnsi="Arial" w:cs="Arial"/>
          <w:b/>
          <w:sz w:val="28"/>
          <w:u w:val="single"/>
        </w:rPr>
      </w:pPr>
      <w:r>
        <w:rPr>
          <w:rFonts w:ascii="Arial" w:hAnsi="Arial" w:cs="Arial"/>
          <w:b/>
          <w:sz w:val="28"/>
          <w:u w:val="single"/>
        </w:rPr>
        <w:tab/>
      </w:r>
      <w:r>
        <w:rPr>
          <w:rFonts w:ascii="Arial" w:hAnsi="Arial" w:cs="Arial"/>
          <w:b/>
          <w:sz w:val="28"/>
          <w:u w:val="single"/>
        </w:rPr>
        <w:tab/>
      </w:r>
    </w:p>
    <w:p w:rsidR="007F268C" w:rsidRPr="00FB34AB" w:rsidRDefault="007F268C" w:rsidP="007F268C">
      <w:pPr>
        <w:tabs>
          <w:tab w:val="left" w:pos="720"/>
          <w:tab w:val="left" w:pos="5760"/>
          <w:tab w:val="left" w:pos="8910"/>
        </w:tabs>
        <w:spacing w:before="0" w:after="0"/>
        <w:rPr>
          <w:rFonts w:ascii="Arial" w:hAnsi="Arial" w:cs="Arial"/>
          <w:sz w:val="22"/>
          <w:szCs w:val="22"/>
        </w:rPr>
      </w:pPr>
    </w:p>
    <w:p w:rsidR="007F268C" w:rsidRPr="00FB34AB" w:rsidRDefault="007F268C">
      <w:pPr>
        <w:pStyle w:val="BodyText"/>
        <w:rPr>
          <w:b/>
          <w:sz w:val="22"/>
          <w:szCs w:val="22"/>
        </w:rPr>
      </w:pPr>
      <w:r>
        <w:rPr>
          <w:b/>
          <w:sz w:val="22"/>
          <w:szCs w:val="22"/>
        </w:rPr>
        <w:t>1</w:t>
      </w:r>
      <w:r>
        <w:rPr>
          <w:b/>
          <w:sz w:val="22"/>
          <w:szCs w:val="22"/>
        </w:rPr>
        <w:tab/>
      </w:r>
      <w:r w:rsidRPr="00FB34AB">
        <w:rPr>
          <w:b/>
          <w:sz w:val="22"/>
          <w:szCs w:val="22"/>
        </w:rPr>
        <w:t>Undergraduate Recruitment: UK/EU</w:t>
      </w:r>
    </w:p>
    <w:p w:rsidR="007F268C" w:rsidRDefault="007F268C" w:rsidP="007F268C">
      <w:pPr>
        <w:pStyle w:val="BodyText"/>
        <w:ind w:left="720" w:hanging="720"/>
        <w:rPr>
          <w:sz w:val="22"/>
          <w:szCs w:val="22"/>
        </w:rPr>
      </w:pPr>
      <w:r>
        <w:rPr>
          <w:sz w:val="22"/>
          <w:szCs w:val="22"/>
        </w:rPr>
        <w:tab/>
        <w:t xml:space="preserve">The University has received all pre-15 January UCAS applications.  UK/EU </w:t>
      </w:r>
      <w:proofErr w:type="gramStart"/>
      <w:r>
        <w:rPr>
          <w:sz w:val="22"/>
          <w:szCs w:val="22"/>
        </w:rPr>
        <w:t>applications</w:t>
      </w:r>
      <w:proofErr w:type="gramEnd"/>
      <w:r>
        <w:rPr>
          <w:sz w:val="22"/>
          <w:szCs w:val="22"/>
        </w:rPr>
        <w:t xml:space="preserve"> to Loughborough are down by 6% on the equivalent point last year but the picture is inconsistent across Schools/Departments.  The table below shows the change in applications for each of the new Schools: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854"/>
      </w:tblGrid>
      <w:tr w:rsidR="007F268C" w:rsidRPr="00992798">
        <w:tc>
          <w:tcPr>
            <w:tcW w:w="7560" w:type="dxa"/>
          </w:tcPr>
          <w:p w:rsidR="007F268C" w:rsidRPr="00992798" w:rsidRDefault="007F268C" w:rsidP="007F268C">
            <w:pPr>
              <w:pStyle w:val="BodyText"/>
              <w:rPr>
                <w:sz w:val="22"/>
                <w:szCs w:val="22"/>
              </w:rPr>
            </w:pPr>
            <w:r w:rsidRPr="00992798">
              <w:rPr>
                <w:sz w:val="22"/>
                <w:szCs w:val="22"/>
              </w:rPr>
              <w:t xml:space="preserve">Aeronautical &amp; Automotive Engineering, Chemical Engineering </w:t>
            </w:r>
            <w:r>
              <w:rPr>
                <w:sz w:val="22"/>
                <w:szCs w:val="22"/>
              </w:rPr>
              <w:t>&amp;</w:t>
            </w:r>
            <w:r w:rsidRPr="00992798">
              <w:rPr>
                <w:sz w:val="22"/>
                <w:szCs w:val="22"/>
              </w:rPr>
              <w:t xml:space="preserve"> Materials</w:t>
            </w:r>
          </w:p>
        </w:tc>
        <w:tc>
          <w:tcPr>
            <w:tcW w:w="854" w:type="dxa"/>
          </w:tcPr>
          <w:p w:rsidR="007F268C" w:rsidRPr="00992798" w:rsidRDefault="007F268C">
            <w:pPr>
              <w:pStyle w:val="BodyText"/>
              <w:rPr>
                <w:sz w:val="22"/>
                <w:szCs w:val="22"/>
              </w:rPr>
            </w:pPr>
            <w:r w:rsidRPr="00992798">
              <w:rPr>
                <w:sz w:val="22"/>
                <w:szCs w:val="22"/>
              </w:rPr>
              <w:t>+10%</w:t>
            </w:r>
          </w:p>
        </w:tc>
      </w:tr>
      <w:tr w:rsidR="007F268C" w:rsidRPr="00992798">
        <w:tc>
          <w:tcPr>
            <w:tcW w:w="7560" w:type="dxa"/>
          </w:tcPr>
          <w:p w:rsidR="007F268C" w:rsidRPr="00992798" w:rsidRDefault="007F268C">
            <w:pPr>
              <w:pStyle w:val="BodyText"/>
              <w:rPr>
                <w:sz w:val="22"/>
                <w:szCs w:val="22"/>
              </w:rPr>
            </w:pPr>
            <w:r w:rsidRPr="00992798">
              <w:rPr>
                <w:sz w:val="22"/>
                <w:szCs w:val="22"/>
              </w:rPr>
              <w:t>Civil and Building Engineering</w:t>
            </w:r>
          </w:p>
        </w:tc>
        <w:tc>
          <w:tcPr>
            <w:tcW w:w="854" w:type="dxa"/>
          </w:tcPr>
          <w:p w:rsidR="007F268C" w:rsidRPr="00992798" w:rsidRDefault="007F268C">
            <w:pPr>
              <w:pStyle w:val="BodyText"/>
              <w:rPr>
                <w:sz w:val="22"/>
                <w:szCs w:val="22"/>
              </w:rPr>
            </w:pPr>
            <w:r w:rsidRPr="00992798">
              <w:rPr>
                <w:sz w:val="22"/>
                <w:szCs w:val="22"/>
              </w:rPr>
              <w:t>+4%</w:t>
            </w:r>
          </w:p>
        </w:tc>
      </w:tr>
      <w:tr w:rsidR="007F268C" w:rsidRPr="00992798">
        <w:tc>
          <w:tcPr>
            <w:tcW w:w="7560" w:type="dxa"/>
          </w:tcPr>
          <w:p w:rsidR="007F268C" w:rsidRPr="00992798" w:rsidRDefault="007F268C">
            <w:pPr>
              <w:pStyle w:val="BodyText"/>
              <w:rPr>
                <w:sz w:val="22"/>
                <w:szCs w:val="22"/>
              </w:rPr>
            </w:pPr>
            <w:r w:rsidRPr="00992798">
              <w:rPr>
                <w:sz w:val="22"/>
                <w:szCs w:val="22"/>
              </w:rPr>
              <w:t>Electronic, Electrical and Systems Engineering</w:t>
            </w:r>
          </w:p>
        </w:tc>
        <w:tc>
          <w:tcPr>
            <w:tcW w:w="854" w:type="dxa"/>
          </w:tcPr>
          <w:p w:rsidR="007F268C" w:rsidRPr="00992798" w:rsidRDefault="007F268C">
            <w:pPr>
              <w:pStyle w:val="BodyText"/>
              <w:rPr>
                <w:sz w:val="22"/>
                <w:szCs w:val="22"/>
              </w:rPr>
            </w:pPr>
            <w:r w:rsidRPr="00992798">
              <w:rPr>
                <w:sz w:val="22"/>
                <w:szCs w:val="22"/>
              </w:rPr>
              <w:t>-28%</w:t>
            </w:r>
          </w:p>
        </w:tc>
      </w:tr>
      <w:tr w:rsidR="007F268C" w:rsidRPr="00992798">
        <w:tc>
          <w:tcPr>
            <w:tcW w:w="7560" w:type="dxa"/>
          </w:tcPr>
          <w:p w:rsidR="007F268C" w:rsidRPr="00992798" w:rsidRDefault="007F268C">
            <w:pPr>
              <w:pStyle w:val="BodyText"/>
              <w:rPr>
                <w:sz w:val="22"/>
                <w:szCs w:val="22"/>
              </w:rPr>
            </w:pPr>
            <w:r w:rsidRPr="00992798">
              <w:rPr>
                <w:sz w:val="22"/>
                <w:szCs w:val="22"/>
              </w:rPr>
              <w:t>Wolfson School</w:t>
            </w:r>
          </w:p>
        </w:tc>
        <w:tc>
          <w:tcPr>
            <w:tcW w:w="854" w:type="dxa"/>
          </w:tcPr>
          <w:p w:rsidR="007F268C" w:rsidRPr="00992798" w:rsidRDefault="007F268C">
            <w:pPr>
              <w:pStyle w:val="BodyText"/>
              <w:rPr>
                <w:sz w:val="22"/>
                <w:szCs w:val="22"/>
              </w:rPr>
            </w:pPr>
            <w:r w:rsidRPr="00992798">
              <w:rPr>
                <w:sz w:val="22"/>
                <w:szCs w:val="22"/>
              </w:rPr>
              <w:t>-1%</w:t>
            </w:r>
          </w:p>
        </w:tc>
      </w:tr>
      <w:tr w:rsidR="007F268C" w:rsidRPr="00992798">
        <w:tc>
          <w:tcPr>
            <w:tcW w:w="7560" w:type="dxa"/>
          </w:tcPr>
          <w:p w:rsidR="007F268C" w:rsidRPr="00992798" w:rsidRDefault="007F268C">
            <w:pPr>
              <w:pStyle w:val="BodyText"/>
              <w:rPr>
                <w:sz w:val="22"/>
                <w:szCs w:val="22"/>
              </w:rPr>
            </w:pPr>
            <w:r w:rsidRPr="00992798">
              <w:rPr>
                <w:sz w:val="22"/>
                <w:szCs w:val="22"/>
              </w:rPr>
              <w:t>Science</w:t>
            </w:r>
          </w:p>
        </w:tc>
        <w:tc>
          <w:tcPr>
            <w:tcW w:w="854" w:type="dxa"/>
          </w:tcPr>
          <w:p w:rsidR="007F268C" w:rsidRPr="00992798" w:rsidRDefault="007F268C">
            <w:pPr>
              <w:pStyle w:val="BodyText"/>
              <w:rPr>
                <w:sz w:val="22"/>
                <w:szCs w:val="22"/>
              </w:rPr>
            </w:pPr>
            <w:r w:rsidRPr="00992798">
              <w:rPr>
                <w:sz w:val="22"/>
                <w:szCs w:val="22"/>
              </w:rPr>
              <w:t>-4%</w:t>
            </w:r>
          </w:p>
        </w:tc>
      </w:tr>
      <w:tr w:rsidR="007F268C" w:rsidRPr="00992798">
        <w:tc>
          <w:tcPr>
            <w:tcW w:w="7560" w:type="dxa"/>
          </w:tcPr>
          <w:p w:rsidR="007F268C" w:rsidRPr="00992798" w:rsidRDefault="007F268C">
            <w:pPr>
              <w:pStyle w:val="BodyText"/>
              <w:rPr>
                <w:sz w:val="22"/>
                <w:szCs w:val="22"/>
              </w:rPr>
            </w:pPr>
            <w:r w:rsidRPr="00992798">
              <w:rPr>
                <w:sz w:val="22"/>
                <w:szCs w:val="22"/>
              </w:rPr>
              <w:t>Arts, English and Drama</w:t>
            </w:r>
          </w:p>
        </w:tc>
        <w:tc>
          <w:tcPr>
            <w:tcW w:w="854" w:type="dxa"/>
          </w:tcPr>
          <w:p w:rsidR="007F268C" w:rsidRPr="00992798" w:rsidRDefault="007F268C">
            <w:pPr>
              <w:pStyle w:val="BodyText"/>
              <w:rPr>
                <w:sz w:val="22"/>
                <w:szCs w:val="22"/>
              </w:rPr>
            </w:pPr>
            <w:r w:rsidRPr="00992798">
              <w:rPr>
                <w:sz w:val="22"/>
                <w:szCs w:val="22"/>
              </w:rPr>
              <w:t>-16%</w:t>
            </w:r>
          </w:p>
        </w:tc>
      </w:tr>
      <w:tr w:rsidR="007F268C" w:rsidRPr="00992798">
        <w:tc>
          <w:tcPr>
            <w:tcW w:w="7560" w:type="dxa"/>
          </w:tcPr>
          <w:p w:rsidR="007F268C" w:rsidRPr="00992798" w:rsidRDefault="007F268C">
            <w:pPr>
              <w:pStyle w:val="BodyText"/>
              <w:rPr>
                <w:sz w:val="22"/>
                <w:szCs w:val="22"/>
              </w:rPr>
            </w:pPr>
            <w:r w:rsidRPr="00992798">
              <w:rPr>
                <w:sz w:val="22"/>
                <w:szCs w:val="22"/>
              </w:rPr>
              <w:t>Business and Economics</w:t>
            </w:r>
          </w:p>
        </w:tc>
        <w:tc>
          <w:tcPr>
            <w:tcW w:w="854" w:type="dxa"/>
          </w:tcPr>
          <w:p w:rsidR="007F268C" w:rsidRPr="00992798" w:rsidRDefault="007F268C">
            <w:pPr>
              <w:pStyle w:val="BodyText"/>
              <w:rPr>
                <w:sz w:val="22"/>
                <w:szCs w:val="22"/>
              </w:rPr>
            </w:pPr>
            <w:r w:rsidRPr="00992798">
              <w:rPr>
                <w:sz w:val="22"/>
                <w:szCs w:val="22"/>
              </w:rPr>
              <w:t>-14%</w:t>
            </w:r>
          </w:p>
        </w:tc>
      </w:tr>
      <w:tr w:rsidR="007F268C" w:rsidRPr="00992798">
        <w:tc>
          <w:tcPr>
            <w:tcW w:w="7560" w:type="dxa"/>
          </w:tcPr>
          <w:p w:rsidR="007F268C" w:rsidRPr="00992798" w:rsidRDefault="007F268C">
            <w:pPr>
              <w:pStyle w:val="BodyText"/>
              <w:rPr>
                <w:sz w:val="22"/>
                <w:szCs w:val="22"/>
              </w:rPr>
            </w:pPr>
            <w:r w:rsidRPr="00992798">
              <w:rPr>
                <w:sz w:val="22"/>
                <w:szCs w:val="22"/>
              </w:rPr>
              <w:t>Loughborough Design School</w:t>
            </w:r>
          </w:p>
        </w:tc>
        <w:tc>
          <w:tcPr>
            <w:tcW w:w="854" w:type="dxa"/>
          </w:tcPr>
          <w:p w:rsidR="007F268C" w:rsidRPr="00992798" w:rsidRDefault="007F268C">
            <w:pPr>
              <w:pStyle w:val="BodyText"/>
              <w:rPr>
                <w:sz w:val="22"/>
                <w:szCs w:val="22"/>
              </w:rPr>
            </w:pPr>
            <w:r w:rsidRPr="00992798">
              <w:rPr>
                <w:sz w:val="22"/>
                <w:szCs w:val="22"/>
              </w:rPr>
              <w:t>-1%</w:t>
            </w:r>
          </w:p>
        </w:tc>
      </w:tr>
      <w:tr w:rsidR="007F268C" w:rsidRPr="00992798">
        <w:tc>
          <w:tcPr>
            <w:tcW w:w="7560" w:type="dxa"/>
          </w:tcPr>
          <w:p w:rsidR="007F268C" w:rsidRPr="00992798" w:rsidRDefault="007F268C">
            <w:pPr>
              <w:pStyle w:val="BodyText"/>
              <w:rPr>
                <w:sz w:val="22"/>
                <w:szCs w:val="22"/>
              </w:rPr>
            </w:pPr>
            <w:r w:rsidRPr="00992798">
              <w:rPr>
                <w:sz w:val="22"/>
                <w:szCs w:val="22"/>
              </w:rPr>
              <w:t>Social, Political and Geographical Sciences</w:t>
            </w:r>
          </w:p>
        </w:tc>
        <w:tc>
          <w:tcPr>
            <w:tcW w:w="854" w:type="dxa"/>
          </w:tcPr>
          <w:p w:rsidR="007F268C" w:rsidRPr="00992798" w:rsidRDefault="007F268C">
            <w:pPr>
              <w:pStyle w:val="BodyText"/>
              <w:rPr>
                <w:sz w:val="22"/>
                <w:szCs w:val="22"/>
              </w:rPr>
            </w:pPr>
            <w:r w:rsidRPr="00992798">
              <w:rPr>
                <w:sz w:val="22"/>
                <w:szCs w:val="22"/>
              </w:rPr>
              <w:t>+1%</w:t>
            </w:r>
          </w:p>
        </w:tc>
      </w:tr>
      <w:tr w:rsidR="007F268C" w:rsidRPr="00992798">
        <w:tc>
          <w:tcPr>
            <w:tcW w:w="7560" w:type="dxa"/>
          </w:tcPr>
          <w:p w:rsidR="007F268C" w:rsidRPr="00992798" w:rsidRDefault="007F268C">
            <w:pPr>
              <w:pStyle w:val="BodyText"/>
              <w:rPr>
                <w:sz w:val="22"/>
                <w:szCs w:val="22"/>
              </w:rPr>
            </w:pPr>
            <w:r w:rsidRPr="00992798">
              <w:rPr>
                <w:sz w:val="22"/>
                <w:szCs w:val="22"/>
              </w:rPr>
              <w:t>Sport, Exercise and Health Sciences</w:t>
            </w:r>
          </w:p>
        </w:tc>
        <w:tc>
          <w:tcPr>
            <w:tcW w:w="854" w:type="dxa"/>
          </w:tcPr>
          <w:p w:rsidR="007F268C" w:rsidRPr="00992798" w:rsidRDefault="007F268C">
            <w:pPr>
              <w:pStyle w:val="BodyText"/>
              <w:rPr>
                <w:sz w:val="22"/>
                <w:szCs w:val="22"/>
              </w:rPr>
            </w:pPr>
            <w:r w:rsidRPr="00992798">
              <w:rPr>
                <w:sz w:val="22"/>
                <w:szCs w:val="22"/>
              </w:rPr>
              <w:t>-14%</w:t>
            </w:r>
          </w:p>
        </w:tc>
      </w:tr>
      <w:tr w:rsidR="007F268C" w:rsidRPr="00992798">
        <w:tc>
          <w:tcPr>
            <w:tcW w:w="7560" w:type="dxa"/>
          </w:tcPr>
          <w:p w:rsidR="007F268C" w:rsidRPr="00992798" w:rsidRDefault="007F268C">
            <w:pPr>
              <w:pStyle w:val="BodyText"/>
              <w:rPr>
                <w:sz w:val="22"/>
                <w:szCs w:val="22"/>
              </w:rPr>
            </w:pPr>
            <w:r w:rsidRPr="00992798">
              <w:rPr>
                <w:sz w:val="22"/>
                <w:szCs w:val="22"/>
              </w:rPr>
              <w:t>Foundation</w:t>
            </w:r>
          </w:p>
        </w:tc>
        <w:tc>
          <w:tcPr>
            <w:tcW w:w="854" w:type="dxa"/>
          </w:tcPr>
          <w:p w:rsidR="007F268C" w:rsidRPr="00992798" w:rsidRDefault="007F268C" w:rsidP="007F268C">
            <w:pPr>
              <w:pStyle w:val="BodyText"/>
              <w:rPr>
                <w:sz w:val="22"/>
                <w:szCs w:val="22"/>
              </w:rPr>
            </w:pPr>
            <w:r w:rsidRPr="00992798">
              <w:rPr>
                <w:sz w:val="22"/>
                <w:szCs w:val="22"/>
              </w:rPr>
              <w:t>+10%</w:t>
            </w:r>
          </w:p>
        </w:tc>
      </w:tr>
    </w:tbl>
    <w:p w:rsidR="007F268C" w:rsidRDefault="007F268C">
      <w:pPr>
        <w:pStyle w:val="BodyText"/>
        <w:rPr>
          <w:sz w:val="22"/>
          <w:szCs w:val="22"/>
        </w:rPr>
      </w:pPr>
    </w:p>
    <w:p w:rsidR="007F268C" w:rsidRDefault="007F268C" w:rsidP="007F268C">
      <w:pPr>
        <w:pStyle w:val="BodyText"/>
        <w:ind w:left="720"/>
        <w:rPr>
          <w:sz w:val="22"/>
          <w:szCs w:val="22"/>
        </w:rPr>
      </w:pPr>
      <w:r>
        <w:rPr>
          <w:sz w:val="22"/>
          <w:szCs w:val="22"/>
        </w:rPr>
        <w:t>According to UCAS statistics, by 15 January applications to Loughborough (which include UK, EU and international) had decreased by 9.2%.  Changes in competitor Institutions are listed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990"/>
        <w:gridCol w:w="900"/>
        <w:gridCol w:w="2610"/>
        <w:gridCol w:w="990"/>
      </w:tblGrid>
      <w:tr w:rsidR="007F268C" w:rsidRPr="00992798">
        <w:tc>
          <w:tcPr>
            <w:tcW w:w="2520" w:type="dxa"/>
          </w:tcPr>
          <w:p w:rsidR="007F268C" w:rsidRPr="00992798" w:rsidRDefault="007F268C">
            <w:pPr>
              <w:pStyle w:val="BodyText"/>
              <w:rPr>
                <w:sz w:val="22"/>
                <w:szCs w:val="22"/>
              </w:rPr>
            </w:pPr>
            <w:r w:rsidRPr="00992798">
              <w:rPr>
                <w:sz w:val="22"/>
                <w:szCs w:val="22"/>
              </w:rPr>
              <w:t>Bath</w:t>
            </w:r>
          </w:p>
        </w:tc>
        <w:tc>
          <w:tcPr>
            <w:tcW w:w="990" w:type="dxa"/>
          </w:tcPr>
          <w:p w:rsidR="007F268C" w:rsidRPr="00992798" w:rsidRDefault="007F268C">
            <w:pPr>
              <w:pStyle w:val="BodyText"/>
              <w:rPr>
                <w:sz w:val="22"/>
                <w:szCs w:val="22"/>
              </w:rPr>
            </w:pPr>
            <w:r w:rsidRPr="00992798">
              <w:rPr>
                <w:sz w:val="22"/>
                <w:szCs w:val="22"/>
              </w:rPr>
              <w:t>-0.3%</w:t>
            </w:r>
          </w:p>
        </w:tc>
        <w:tc>
          <w:tcPr>
            <w:tcW w:w="900" w:type="dxa"/>
            <w:tcBorders>
              <w:top w:val="nil"/>
              <w:bottom w:val="nil"/>
            </w:tcBorders>
          </w:tcPr>
          <w:p w:rsidR="007F268C" w:rsidRPr="00992798" w:rsidRDefault="007F268C" w:rsidP="007F268C">
            <w:pPr>
              <w:pStyle w:val="BodyText"/>
              <w:rPr>
                <w:sz w:val="22"/>
                <w:szCs w:val="22"/>
              </w:rPr>
            </w:pPr>
          </w:p>
        </w:tc>
        <w:tc>
          <w:tcPr>
            <w:tcW w:w="2610" w:type="dxa"/>
          </w:tcPr>
          <w:p w:rsidR="007F268C" w:rsidRPr="00992798" w:rsidRDefault="007F268C" w:rsidP="007F268C">
            <w:pPr>
              <w:pStyle w:val="BodyText"/>
              <w:rPr>
                <w:sz w:val="22"/>
                <w:szCs w:val="22"/>
              </w:rPr>
            </w:pPr>
            <w:r w:rsidRPr="00992798">
              <w:rPr>
                <w:sz w:val="22"/>
                <w:szCs w:val="22"/>
              </w:rPr>
              <w:t>Manchester</w:t>
            </w:r>
          </w:p>
        </w:tc>
        <w:tc>
          <w:tcPr>
            <w:tcW w:w="990" w:type="dxa"/>
          </w:tcPr>
          <w:p w:rsidR="007F268C" w:rsidRPr="00992798" w:rsidRDefault="007F268C" w:rsidP="007F268C">
            <w:pPr>
              <w:pStyle w:val="BodyText"/>
              <w:rPr>
                <w:sz w:val="22"/>
                <w:szCs w:val="22"/>
              </w:rPr>
            </w:pPr>
            <w:r w:rsidRPr="00992798">
              <w:rPr>
                <w:sz w:val="22"/>
                <w:szCs w:val="22"/>
              </w:rPr>
              <w:t>0.1%</w:t>
            </w:r>
          </w:p>
        </w:tc>
      </w:tr>
      <w:tr w:rsidR="007F268C" w:rsidRPr="00992798">
        <w:tc>
          <w:tcPr>
            <w:tcW w:w="2520" w:type="dxa"/>
          </w:tcPr>
          <w:p w:rsidR="007F268C" w:rsidRPr="00992798" w:rsidRDefault="007F268C">
            <w:pPr>
              <w:pStyle w:val="BodyText"/>
              <w:rPr>
                <w:sz w:val="22"/>
                <w:szCs w:val="22"/>
              </w:rPr>
            </w:pPr>
            <w:r w:rsidRPr="00992798">
              <w:rPr>
                <w:sz w:val="22"/>
                <w:szCs w:val="22"/>
              </w:rPr>
              <w:t>Birmingham</w:t>
            </w:r>
          </w:p>
        </w:tc>
        <w:tc>
          <w:tcPr>
            <w:tcW w:w="990" w:type="dxa"/>
          </w:tcPr>
          <w:p w:rsidR="007F268C" w:rsidRPr="00992798" w:rsidRDefault="007F268C">
            <w:pPr>
              <w:pStyle w:val="BodyText"/>
              <w:rPr>
                <w:sz w:val="22"/>
                <w:szCs w:val="22"/>
              </w:rPr>
            </w:pPr>
            <w:r w:rsidRPr="00992798">
              <w:rPr>
                <w:sz w:val="22"/>
                <w:szCs w:val="22"/>
              </w:rPr>
              <w:t>-0.3%</w:t>
            </w:r>
          </w:p>
        </w:tc>
        <w:tc>
          <w:tcPr>
            <w:tcW w:w="900" w:type="dxa"/>
            <w:tcBorders>
              <w:top w:val="nil"/>
              <w:bottom w:val="nil"/>
            </w:tcBorders>
          </w:tcPr>
          <w:p w:rsidR="007F268C" w:rsidRPr="00992798" w:rsidRDefault="007F268C" w:rsidP="007F268C">
            <w:pPr>
              <w:pStyle w:val="BodyText"/>
              <w:rPr>
                <w:sz w:val="22"/>
                <w:szCs w:val="22"/>
              </w:rPr>
            </w:pPr>
          </w:p>
        </w:tc>
        <w:tc>
          <w:tcPr>
            <w:tcW w:w="2610" w:type="dxa"/>
          </w:tcPr>
          <w:p w:rsidR="007F268C" w:rsidRPr="00992798" w:rsidRDefault="007F268C" w:rsidP="007F268C">
            <w:pPr>
              <w:pStyle w:val="BodyText"/>
              <w:rPr>
                <w:sz w:val="22"/>
                <w:szCs w:val="22"/>
              </w:rPr>
            </w:pPr>
            <w:r w:rsidRPr="00992798">
              <w:rPr>
                <w:sz w:val="22"/>
                <w:szCs w:val="22"/>
              </w:rPr>
              <w:t>Nottingham</w:t>
            </w:r>
          </w:p>
        </w:tc>
        <w:tc>
          <w:tcPr>
            <w:tcW w:w="990" w:type="dxa"/>
          </w:tcPr>
          <w:p w:rsidR="007F268C" w:rsidRPr="00992798" w:rsidRDefault="007F268C" w:rsidP="007F268C">
            <w:pPr>
              <w:pStyle w:val="BodyText"/>
              <w:rPr>
                <w:sz w:val="22"/>
                <w:szCs w:val="22"/>
              </w:rPr>
            </w:pPr>
            <w:r w:rsidRPr="00992798">
              <w:rPr>
                <w:sz w:val="22"/>
                <w:szCs w:val="22"/>
              </w:rPr>
              <w:t>7.6%</w:t>
            </w:r>
          </w:p>
        </w:tc>
      </w:tr>
      <w:tr w:rsidR="007F268C" w:rsidRPr="00992798">
        <w:tc>
          <w:tcPr>
            <w:tcW w:w="2520" w:type="dxa"/>
          </w:tcPr>
          <w:p w:rsidR="007F268C" w:rsidRPr="00992798" w:rsidRDefault="007F268C">
            <w:pPr>
              <w:pStyle w:val="BodyText"/>
              <w:rPr>
                <w:sz w:val="22"/>
                <w:szCs w:val="22"/>
              </w:rPr>
            </w:pPr>
            <w:r w:rsidRPr="00992798">
              <w:rPr>
                <w:sz w:val="22"/>
                <w:szCs w:val="22"/>
              </w:rPr>
              <w:t>Durham</w:t>
            </w:r>
          </w:p>
        </w:tc>
        <w:tc>
          <w:tcPr>
            <w:tcW w:w="990" w:type="dxa"/>
          </w:tcPr>
          <w:p w:rsidR="007F268C" w:rsidRPr="00992798" w:rsidRDefault="007F268C">
            <w:pPr>
              <w:pStyle w:val="BodyText"/>
              <w:rPr>
                <w:sz w:val="22"/>
                <w:szCs w:val="22"/>
              </w:rPr>
            </w:pPr>
            <w:r w:rsidRPr="00992798">
              <w:rPr>
                <w:sz w:val="22"/>
                <w:szCs w:val="22"/>
              </w:rPr>
              <w:t>-0.7%</w:t>
            </w:r>
          </w:p>
        </w:tc>
        <w:tc>
          <w:tcPr>
            <w:tcW w:w="900" w:type="dxa"/>
            <w:tcBorders>
              <w:top w:val="nil"/>
              <w:bottom w:val="nil"/>
            </w:tcBorders>
          </w:tcPr>
          <w:p w:rsidR="007F268C" w:rsidRPr="00992798" w:rsidRDefault="007F268C" w:rsidP="007F268C">
            <w:pPr>
              <w:pStyle w:val="BodyText"/>
              <w:rPr>
                <w:sz w:val="22"/>
                <w:szCs w:val="22"/>
              </w:rPr>
            </w:pPr>
          </w:p>
        </w:tc>
        <w:tc>
          <w:tcPr>
            <w:tcW w:w="2610" w:type="dxa"/>
          </w:tcPr>
          <w:p w:rsidR="007F268C" w:rsidRPr="00992798" w:rsidRDefault="007F268C" w:rsidP="007F268C">
            <w:pPr>
              <w:pStyle w:val="BodyText"/>
              <w:rPr>
                <w:sz w:val="22"/>
                <w:szCs w:val="22"/>
              </w:rPr>
            </w:pPr>
            <w:r w:rsidRPr="00992798">
              <w:rPr>
                <w:sz w:val="22"/>
                <w:szCs w:val="22"/>
              </w:rPr>
              <w:t>Sheffield</w:t>
            </w:r>
          </w:p>
        </w:tc>
        <w:tc>
          <w:tcPr>
            <w:tcW w:w="990" w:type="dxa"/>
          </w:tcPr>
          <w:p w:rsidR="007F268C" w:rsidRPr="00992798" w:rsidRDefault="007F268C" w:rsidP="007F268C">
            <w:pPr>
              <w:pStyle w:val="BodyText"/>
              <w:rPr>
                <w:sz w:val="22"/>
                <w:szCs w:val="22"/>
              </w:rPr>
            </w:pPr>
            <w:r w:rsidRPr="00992798">
              <w:rPr>
                <w:sz w:val="22"/>
                <w:szCs w:val="22"/>
              </w:rPr>
              <w:t>-15.9%</w:t>
            </w:r>
          </w:p>
        </w:tc>
      </w:tr>
      <w:tr w:rsidR="007F268C" w:rsidRPr="00992798">
        <w:tc>
          <w:tcPr>
            <w:tcW w:w="2520" w:type="dxa"/>
          </w:tcPr>
          <w:p w:rsidR="007F268C" w:rsidRPr="00992798" w:rsidRDefault="007F268C">
            <w:pPr>
              <w:pStyle w:val="BodyText"/>
              <w:rPr>
                <w:sz w:val="22"/>
                <w:szCs w:val="22"/>
              </w:rPr>
            </w:pPr>
            <w:r w:rsidRPr="00992798">
              <w:rPr>
                <w:sz w:val="22"/>
                <w:szCs w:val="22"/>
              </w:rPr>
              <w:t>Leeds</w:t>
            </w:r>
          </w:p>
        </w:tc>
        <w:tc>
          <w:tcPr>
            <w:tcW w:w="990" w:type="dxa"/>
          </w:tcPr>
          <w:p w:rsidR="007F268C" w:rsidRPr="00992798" w:rsidRDefault="007F268C">
            <w:pPr>
              <w:pStyle w:val="BodyText"/>
              <w:rPr>
                <w:sz w:val="22"/>
                <w:szCs w:val="22"/>
              </w:rPr>
            </w:pPr>
            <w:r w:rsidRPr="00992798">
              <w:rPr>
                <w:sz w:val="22"/>
                <w:szCs w:val="22"/>
              </w:rPr>
              <w:t>-0.2%</w:t>
            </w:r>
          </w:p>
        </w:tc>
        <w:tc>
          <w:tcPr>
            <w:tcW w:w="900" w:type="dxa"/>
            <w:tcBorders>
              <w:top w:val="nil"/>
              <w:bottom w:val="nil"/>
            </w:tcBorders>
          </w:tcPr>
          <w:p w:rsidR="007F268C" w:rsidRPr="00992798" w:rsidRDefault="007F268C" w:rsidP="007F268C">
            <w:pPr>
              <w:pStyle w:val="BodyText"/>
              <w:rPr>
                <w:sz w:val="22"/>
                <w:szCs w:val="22"/>
              </w:rPr>
            </w:pPr>
          </w:p>
        </w:tc>
        <w:tc>
          <w:tcPr>
            <w:tcW w:w="2610" w:type="dxa"/>
          </w:tcPr>
          <w:p w:rsidR="007F268C" w:rsidRPr="00992798" w:rsidRDefault="007F268C" w:rsidP="007F268C">
            <w:pPr>
              <w:pStyle w:val="BodyText"/>
              <w:rPr>
                <w:sz w:val="22"/>
                <w:szCs w:val="22"/>
              </w:rPr>
            </w:pPr>
            <w:r w:rsidRPr="00992798">
              <w:rPr>
                <w:sz w:val="22"/>
                <w:szCs w:val="22"/>
              </w:rPr>
              <w:t>Southampton</w:t>
            </w:r>
          </w:p>
        </w:tc>
        <w:tc>
          <w:tcPr>
            <w:tcW w:w="990" w:type="dxa"/>
          </w:tcPr>
          <w:p w:rsidR="007F268C" w:rsidRPr="00992798" w:rsidRDefault="007F268C" w:rsidP="007F268C">
            <w:pPr>
              <w:pStyle w:val="BodyText"/>
              <w:rPr>
                <w:sz w:val="22"/>
                <w:szCs w:val="22"/>
              </w:rPr>
            </w:pPr>
            <w:r w:rsidRPr="00992798">
              <w:rPr>
                <w:sz w:val="22"/>
                <w:szCs w:val="22"/>
              </w:rPr>
              <w:t>-4.1%</w:t>
            </w:r>
          </w:p>
        </w:tc>
      </w:tr>
      <w:tr w:rsidR="007F268C" w:rsidRPr="00992798">
        <w:tc>
          <w:tcPr>
            <w:tcW w:w="2520" w:type="dxa"/>
          </w:tcPr>
          <w:p w:rsidR="007F268C" w:rsidRPr="00992798" w:rsidRDefault="007F268C">
            <w:pPr>
              <w:pStyle w:val="BodyText"/>
              <w:rPr>
                <w:sz w:val="22"/>
                <w:szCs w:val="22"/>
              </w:rPr>
            </w:pPr>
            <w:r w:rsidRPr="00992798">
              <w:rPr>
                <w:sz w:val="22"/>
                <w:szCs w:val="22"/>
              </w:rPr>
              <w:t>Leicester</w:t>
            </w:r>
          </w:p>
        </w:tc>
        <w:tc>
          <w:tcPr>
            <w:tcW w:w="990" w:type="dxa"/>
          </w:tcPr>
          <w:p w:rsidR="007F268C" w:rsidRPr="00992798" w:rsidRDefault="007F268C">
            <w:pPr>
              <w:pStyle w:val="BodyText"/>
              <w:rPr>
                <w:sz w:val="22"/>
                <w:szCs w:val="22"/>
              </w:rPr>
            </w:pPr>
            <w:r w:rsidRPr="00992798">
              <w:rPr>
                <w:sz w:val="22"/>
                <w:szCs w:val="22"/>
              </w:rPr>
              <w:t>-2.4%</w:t>
            </w:r>
          </w:p>
        </w:tc>
        <w:tc>
          <w:tcPr>
            <w:tcW w:w="900" w:type="dxa"/>
            <w:tcBorders>
              <w:top w:val="nil"/>
              <w:bottom w:val="nil"/>
            </w:tcBorders>
          </w:tcPr>
          <w:p w:rsidR="007F268C" w:rsidRPr="00992798" w:rsidRDefault="007F268C" w:rsidP="007F268C">
            <w:pPr>
              <w:pStyle w:val="BodyText"/>
              <w:rPr>
                <w:sz w:val="22"/>
                <w:szCs w:val="22"/>
              </w:rPr>
            </w:pPr>
          </w:p>
        </w:tc>
        <w:tc>
          <w:tcPr>
            <w:tcW w:w="2610" w:type="dxa"/>
          </w:tcPr>
          <w:p w:rsidR="007F268C" w:rsidRPr="00992798" w:rsidRDefault="007F268C" w:rsidP="007F268C">
            <w:pPr>
              <w:pStyle w:val="BodyText"/>
              <w:rPr>
                <w:sz w:val="22"/>
                <w:szCs w:val="22"/>
              </w:rPr>
            </w:pPr>
            <w:r w:rsidRPr="00992798">
              <w:rPr>
                <w:sz w:val="22"/>
                <w:szCs w:val="22"/>
              </w:rPr>
              <w:t>York</w:t>
            </w:r>
          </w:p>
        </w:tc>
        <w:tc>
          <w:tcPr>
            <w:tcW w:w="990" w:type="dxa"/>
          </w:tcPr>
          <w:p w:rsidR="007F268C" w:rsidRPr="00992798" w:rsidRDefault="007F268C" w:rsidP="007F268C">
            <w:pPr>
              <w:pStyle w:val="BodyText"/>
              <w:rPr>
                <w:sz w:val="22"/>
                <w:szCs w:val="22"/>
              </w:rPr>
            </w:pPr>
            <w:r w:rsidRPr="00992798">
              <w:rPr>
                <w:sz w:val="22"/>
                <w:szCs w:val="22"/>
              </w:rPr>
              <w:t>-3.7%</w:t>
            </w:r>
          </w:p>
        </w:tc>
      </w:tr>
    </w:tbl>
    <w:p w:rsidR="007F268C" w:rsidRDefault="007F268C" w:rsidP="007F268C">
      <w:pPr>
        <w:pStyle w:val="BodyText"/>
        <w:ind w:left="720"/>
        <w:rPr>
          <w:sz w:val="22"/>
          <w:szCs w:val="22"/>
        </w:rPr>
      </w:pPr>
      <w:r>
        <w:rPr>
          <w:sz w:val="22"/>
          <w:szCs w:val="22"/>
        </w:rPr>
        <w:t>It should be noted that the most significant increases in applications nationally have been in subjects which Loughborough does not offer (but many of our competitors do) such as subjects allied to medicine and veterinary science.</w:t>
      </w:r>
    </w:p>
    <w:p w:rsidR="007F268C" w:rsidRDefault="007F268C" w:rsidP="007F268C">
      <w:pPr>
        <w:pStyle w:val="BodyText"/>
        <w:ind w:left="720"/>
        <w:rPr>
          <w:sz w:val="22"/>
          <w:szCs w:val="22"/>
        </w:rPr>
      </w:pPr>
      <w:r>
        <w:rPr>
          <w:sz w:val="22"/>
          <w:szCs w:val="22"/>
        </w:rPr>
        <w:t xml:space="preserve">2011 entry is a critical year before the introduction of increased tuition fees from 2012 entry.  Deferred applications for 2012 entry are running at 2.5% of the total applications (compared to 5% at the equivalent point last year) which means that the number of students which the University needs to recruit next year will be greater from the outset.  Opportunities continue to be promoted to prospective students seeking entry in 2012 to ensure that they are not deterred from applying by the likelihood of increased debt. </w:t>
      </w:r>
    </w:p>
    <w:p w:rsidR="007F268C" w:rsidRPr="00FB34AB" w:rsidRDefault="007F268C" w:rsidP="007F268C">
      <w:pPr>
        <w:pStyle w:val="BodyText"/>
        <w:ind w:left="720"/>
        <w:rPr>
          <w:sz w:val="22"/>
          <w:szCs w:val="22"/>
        </w:rPr>
      </w:pPr>
      <w:r>
        <w:rPr>
          <w:sz w:val="22"/>
          <w:szCs w:val="22"/>
        </w:rPr>
        <w:t>The Student Recruitment and Admissions section in liaison with admissions tutors is monitoring offer levels to ensure that, where possible, sufficient offers are made to meet intake targets whilst maintaining the high academic requirements.  In the coming weeks Marketing and Communications will send to offer holders Department/School-specific e-newsletters in order to aid conversion.</w:t>
      </w:r>
    </w:p>
    <w:p w:rsidR="007F268C" w:rsidRDefault="007F268C">
      <w:pPr>
        <w:pStyle w:val="BodyText"/>
        <w:rPr>
          <w:b/>
          <w:sz w:val="22"/>
          <w:szCs w:val="22"/>
        </w:rPr>
      </w:pPr>
      <w:r>
        <w:rPr>
          <w:b/>
          <w:sz w:val="22"/>
          <w:szCs w:val="22"/>
        </w:rPr>
        <w:t>2</w:t>
      </w:r>
      <w:r>
        <w:rPr>
          <w:b/>
          <w:sz w:val="22"/>
          <w:szCs w:val="22"/>
        </w:rPr>
        <w:tab/>
      </w:r>
      <w:r w:rsidRPr="00FB34AB">
        <w:rPr>
          <w:b/>
          <w:sz w:val="22"/>
          <w:szCs w:val="22"/>
        </w:rPr>
        <w:t>Undergraduate Recruitment: International</w:t>
      </w:r>
    </w:p>
    <w:p w:rsidR="007F268C" w:rsidRDefault="007F268C" w:rsidP="007F268C">
      <w:pPr>
        <w:pStyle w:val="BodyText"/>
        <w:ind w:left="720"/>
        <w:rPr>
          <w:sz w:val="22"/>
          <w:szCs w:val="22"/>
        </w:rPr>
      </w:pPr>
      <w:r>
        <w:rPr>
          <w:sz w:val="22"/>
          <w:szCs w:val="22"/>
        </w:rPr>
        <w:t>Currently international applications are down by 12% in comparison to the equivalent point last year.  The majority of Schools have seen a decrease in applications with the exception of the following:</w:t>
      </w:r>
    </w:p>
    <w:p w:rsidR="007F268C" w:rsidRDefault="007F268C" w:rsidP="007F268C">
      <w:pPr>
        <w:pStyle w:val="BodyText"/>
        <w:spacing w:before="0" w:after="0"/>
        <w:ind w:left="720"/>
        <w:rPr>
          <w:sz w:val="22"/>
          <w:szCs w:val="22"/>
        </w:rPr>
      </w:pPr>
      <w:r>
        <w:rPr>
          <w:sz w:val="22"/>
          <w:szCs w:val="22"/>
        </w:rPr>
        <w:t>Social, Political and Geographical Sciences</w:t>
      </w:r>
      <w:r>
        <w:rPr>
          <w:sz w:val="22"/>
          <w:szCs w:val="22"/>
        </w:rPr>
        <w:tab/>
        <w:t>+5%</w:t>
      </w:r>
    </w:p>
    <w:p w:rsidR="007F268C" w:rsidRDefault="007F268C" w:rsidP="007F268C">
      <w:pPr>
        <w:pStyle w:val="BodyText"/>
        <w:spacing w:before="0" w:after="0"/>
        <w:ind w:left="720"/>
        <w:rPr>
          <w:sz w:val="22"/>
          <w:szCs w:val="22"/>
        </w:rPr>
      </w:pPr>
      <w:r>
        <w:rPr>
          <w:sz w:val="22"/>
          <w:szCs w:val="22"/>
        </w:rPr>
        <w:t>Loughborough Design School</w:t>
      </w:r>
      <w:r>
        <w:rPr>
          <w:sz w:val="22"/>
          <w:szCs w:val="22"/>
        </w:rPr>
        <w:tab/>
        <w:t>+52%</w:t>
      </w:r>
    </w:p>
    <w:p w:rsidR="007F268C" w:rsidRDefault="007F268C" w:rsidP="007F268C">
      <w:pPr>
        <w:pStyle w:val="BodyText"/>
        <w:spacing w:before="0" w:after="0"/>
        <w:ind w:left="720"/>
        <w:rPr>
          <w:sz w:val="22"/>
          <w:szCs w:val="22"/>
        </w:rPr>
      </w:pPr>
      <w:r>
        <w:rPr>
          <w:sz w:val="22"/>
          <w:szCs w:val="22"/>
        </w:rPr>
        <w:t>Sport, Exercise and Health Sciences</w:t>
      </w:r>
      <w:r>
        <w:rPr>
          <w:sz w:val="22"/>
          <w:szCs w:val="22"/>
        </w:rPr>
        <w:tab/>
        <w:t>0%</w:t>
      </w:r>
    </w:p>
    <w:p w:rsidR="007F268C" w:rsidRPr="0043037A" w:rsidRDefault="007F268C" w:rsidP="007F268C">
      <w:pPr>
        <w:pStyle w:val="BodyText"/>
        <w:spacing w:before="0" w:after="0"/>
        <w:ind w:left="720"/>
        <w:rPr>
          <w:sz w:val="12"/>
          <w:szCs w:val="12"/>
        </w:rPr>
      </w:pPr>
    </w:p>
    <w:p w:rsidR="007F268C" w:rsidRDefault="007F268C" w:rsidP="007F268C">
      <w:pPr>
        <w:pStyle w:val="BodyText"/>
        <w:spacing w:before="0" w:after="0"/>
        <w:ind w:left="720"/>
        <w:rPr>
          <w:sz w:val="22"/>
          <w:szCs w:val="22"/>
        </w:rPr>
      </w:pPr>
      <w:r>
        <w:rPr>
          <w:sz w:val="22"/>
          <w:szCs w:val="22"/>
        </w:rPr>
        <w:t>It is likely that the decrease in applications is due to the relatively high entry requirements at Loughborough (academic and English language), the incorrect information currently circulating in international markets about a possible tripling of tuition fees for international students and the Government’s proposed changes to the immigration system, particularly restrictions on the post-study work visa.</w:t>
      </w:r>
    </w:p>
    <w:p w:rsidR="007F268C" w:rsidRDefault="007F268C" w:rsidP="007F268C">
      <w:pPr>
        <w:pStyle w:val="BodyText"/>
        <w:ind w:left="720"/>
        <w:rPr>
          <w:sz w:val="22"/>
          <w:szCs w:val="22"/>
        </w:rPr>
      </w:pPr>
      <w:r>
        <w:rPr>
          <w:sz w:val="22"/>
          <w:szCs w:val="22"/>
        </w:rPr>
        <w:t>Colleagues in the International Office are due to embark on a number of focused visits overseas and it is hoped that these will result in an increase in applications from well-qualified students.  They will also focus on conversion of those students who have been made an offer.</w:t>
      </w:r>
    </w:p>
    <w:p w:rsidR="007F268C" w:rsidRPr="00FB34AB" w:rsidRDefault="007F268C">
      <w:pPr>
        <w:pStyle w:val="BodyText"/>
        <w:rPr>
          <w:b/>
          <w:sz w:val="22"/>
          <w:szCs w:val="22"/>
        </w:rPr>
      </w:pPr>
      <w:r>
        <w:rPr>
          <w:b/>
          <w:sz w:val="22"/>
          <w:szCs w:val="22"/>
        </w:rPr>
        <w:t>3</w:t>
      </w:r>
      <w:r>
        <w:rPr>
          <w:b/>
          <w:sz w:val="22"/>
          <w:szCs w:val="22"/>
        </w:rPr>
        <w:tab/>
      </w:r>
      <w:r w:rsidRPr="00FB34AB">
        <w:rPr>
          <w:b/>
          <w:sz w:val="22"/>
          <w:szCs w:val="22"/>
        </w:rPr>
        <w:t>Postgraduate Taught Recruitment: UK/EU</w:t>
      </w:r>
    </w:p>
    <w:p w:rsidR="007F268C" w:rsidRDefault="007F268C" w:rsidP="007F268C">
      <w:pPr>
        <w:pStyle w:val="BodyText"/>
        <w:ind w:left="720"/>
        <w:rPr>
          <w:sz w:val="22"/>
          <w:szCs w:val="22"/>
        </w:rPr>
      </w:pPr>
      <w:r>
        <w:rPr>
          <w:sz w:val="22"/>
          <w:szCs w:val="22"/>
        </w:rPr>
        <w:t xml:space="preserve">For the third year in succession, UK/EU postgraduate taught applications have seen an increase; 21% compared to the equivalent point last year.  Increases have occurred across a majority of the new Schools.  30% of the UK and 1.3% of the EU applications are from Loughborough students or graduates.  </w:t>
      </w:r>
    </w:p>
    <w:p w:rsidR="007F268C" w:rsidRDefault="007F268C" w:rsidP="007F268C">
      <w:pPr>
        <w:pStyle w:val="BodyText"/>
        <w:ind w:left="720"/>
        <w:rPr>
          <w:sz w:val="22"/>
          <w:szCs w:val="22"/>
        </w:rPr>
      </w:pPr>
      <w:r>
        <w:rPr>
          <w:sz w:val="22"/>
          <w:szCs w:val="22"/>
        </w:rPr>
        <w:lastRenderedPageBreak/>
        <w:t>The Student Recruitment and Admissions section monitors regularly the number of offers made, together with outstanding decisions and liaises with Schools/Departments where issues are identified. The Postgraduate Open Day is scheduled to take place on Wednesday 23 February and has attracted around 350 advance bookings.</w:t>
      </w:r>
    </w:p>
    <w:p w:rsidR="007F268C" w:rsidRPr="00FB34AB" w:rsidRDefault="007F268C">
      <w:pPr>
        <w:pStyle w:val="BodyText"/>
        <w:rPr>
          <w:b/>
          <w:sz w:val="22"/>
          <w:szCs w:val="22"/>
        </w:rPr>
      </w:pPr>
      <w:r>
        <w:rPr>
          <w:b/>
          <w:sz w:val="22"/>
          <w:szCs w:val="22"/>
        </w:rPr>
        <w:t>4</w:t>
      </w:r>
      <w:r>
        <w:rPr>
          <w:b/>
          <w:sz w:val="22"/>
          <w:szCs w:val="22"/>
        </w:rPr>
        <w:tab/>
      </w:r>
      <w:r w:rsidRPr="00FB34AB">
        <w:rPr>
          <w:b/>
          <w:sz w:val="22"/>
          <w:szCs w:val="22"/>
        </w:rPr>
        <w:t>Postgraduate Taught Recruitment: International</w:t>
      </w:r>
    </w:p>
    <w:p w:rsidR="007F268C" w:rsidRDefault="007F268C" w:rsidP="007F268C">
      <w:pPr>
        <w:pStyle w:val="BodyText"/>
        <w:ind w:left="720"/>
        <w:rPr>
          <w:sz w:val="22"/>
          <w:szCs w:val="22"/>
        </w:rPr>
      </w:pPr>
      <w:r>
        <w:rPr>
          <w:sz w:val="22"/>
          <w:szCs w:val="22"/>
        </w:rPr>
        <w:t xml:space="preserve">There has been a </w:t>
      </w:r>
      <w:r w:rsidRPr="0083673C">
        <w:rPr>
          <w:sz w:val="22"/>
          <w:szCs w:val="22"/>
        </w:rPr>
        <w:t xml:space="preserve">23% </w:t>
      </w:r>
      <w:r>
        <w:rPr>
          <w:sz w:val="22"/>
          <w:szCs w:val="22"/>
        </w:rPr>
        <w:t xml:space="preserve">increase in applications </w:t>
      </w:r>
      <w:r w:rsidRPr="0083673C">
        <w:rPr>
          <w:sz w:val="22"/>
          <w:szCs w:val="22"/>
        </w:rPr>
        <w:t>over the equi</w:t>
      </w:r>
      <w:r>
        <w:rPr>
          <w:sz w:val="22"/>
          <w:szCs w:val="22"/>
        </w:rPr>
        <w:t xml:space="preserve">valent point last year with increases across a majority of the new Schools. </w:t>
      </w:r>
    </w:p>
    <w:p w:rsidR="007F268C" w:rsidRDefault="007F268C" w:rsidP="007F268C">
      <w:pPr>
        <w:pStyle w:val="BodyText"/>
        <w:ind w:left="720"/>
        <w:rPr>
          <w:sz w:val="22"/>
          <w:szCs w:val="22"/>
        </w:rPr>
      </w:pPr>
      <w:r>
        <w:rPr>
          <w:sz w:val="22"/>
          <w:szCs w:val="22"/>
        </w:rPr>
        <w:t xml:space="preserve">Applications from China have increased significantly, mainly to the School of Business and Economics although it is pleasing to note a continued diversification across other subjects.  There have been slight decreases in applications from India, Nigeria and Taiwan.  Prospective students from India are particularly sensitive to the possible restrictions on the post-study work visa.  </w:t>
      </w:r>
    </w:p>
    <w:p w:rsidR="007F268C" w:rsidRDefault="007F268C" w:rsidP="007F268C">
      <w:pPr>
        <w:pStyle w:val="BodyText"/>
        <w:ind w:left="720"/>
        <w:rPr>
          <w:sz w:val="22"/>
          <w:szCs w:val="22"/>
        </w:rPr>
      </w:pPr>
      <w:r>
        <w:rPr>
          <w:sz w:val="22"/>
          <w:szCs w:val="22"/>
        </w:rPr>
        <w:t>Work is underway to make more specific postgraduate taught entry criteria and to provide clear information on the web regarding equivalencies of qualifications from countries such as China, India, Nigeria and Taiwan in order to discourage applications from those not suitably qualified.  This information will also be circulated to Agents.</w:t>
      </w:r>
    </w:p>
    <w:p w:rsidR="007F268C" w:rsidRPr="007E3F2A" w:rsidRDefault="007F268C" w:rsidP="007F268C">
      <w:pPr>
        <w:pStyle w:val="BodyText"/>
        <w:ind w:left="720"/>
        <w:rPr>
          <w:sz w:val="22"/>
          <w:szCs w:val="22"/>
        </w:rPr>
      </w:pPr>
      <w:r>
        <w:rPr>
          <w:sz w:val="22"/>
          <w:szCs w:val="22"/>
        </w:rPr>
        <w:t>The International Office is prioritising conversion activities over the coming months and also recruitment opportunities in Latin America.  In May 2011 Marketing and Communications will issue an e-newsletter to offer holders.</w:t>
      </w:r>
    </w:p>
    <w:p w:rsidR="007F268C" w:rsidRDefault="007F268C">
      <w:pPr>
        <w:pStyle w:val="BodyText"/>
      </w:pPr>
      <w:proofErr w:type="gramStart"/>
      <w:r>
        <w:t>Author – M.Bell, R.Atkin</w:t>
      </w:r>
      <w:r>
        <w:br/>
        <w:t>Date – February 2011</w:t>
      </w:r>
      <w:r>
        <w:br/>
        <w:t>Copyright (c) Loughborough University.</w:t>
      </w:r>
      <w:proofErr w:type="gramEnd"/>
      <w:r>
        <w:t xml:space="preserve">  All rights reserved.</w:t>
      </w:r>
      <w:r>
        <w:tab/>
      </w:r>
    </w:p>
    <w:sectPr w:rsidR="007F268C" w:rsidSect="007E3D1D">
      <w:headerReference w:type="first" r:id="rId8"/>
      <w:pgSz w:w="11906" w:h="16838" w:code="9"/>
      <w:pgMar w:top="1008" w:right="1440" w:bottom="1080" w:left="1440" w:header="706" w:footer="70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0EA" w:rsidRDefault="00D300EA" w:rsidP="007E3D1D">
      <w:pPr>
        <w:spacing w:before="0" w:after="0"/>
      </w:pPr>
      <w:r>
        <w:separator/>
      </w:r>
    </w:p>
  </w:endnote>
  <w:endnote w:type="continuationSeparator" w:id="0">
    <w:p w:rsidR="00D300EA" w:rsidRDefault="00D300EA" w:rsidP="007E3D1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0EA" w:rsidRDefault="00D300EA" w:rsidP="007E3D1D">
      <w:pPr>
        <w:spacing w:before="0" w:after="0"/>
      </w:pPr>
      <w:r>
        <w:separator/>
      </w:r>
    </w:p>
  </w:footnote>
  <w:footnote w:type="continuationSeparator" w:id="0">
    <w:p w:rsidR="00D300EA" w:rsidRDefault="00D300EA" w:rsidP="007E3D1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D1D" w:rsidRPr="007E3D1D" w:rsidRDefault="007E3D1D" w:rsidP="007E3D1D">
    <w:pPr>
      <w:pStyle w:val="Header"/>
      <w:jc w:val="right"/>
      <w:rPr>
        <w:sz w:val="22"/>
        <w:szCs w:val="22"/>
      </w:rPr>
    </w:pPr>
    <w:r w:rsidRPr="007E3D1D">
      <w:rPr>
        <w:sz w:val="22"/>
        <w:szCs w:val="22"/>
      </w:rPr>
      <w:t>SEN11-P</w:t>
    </w:r>
    <w:r w:rsidR="00CF7BF9">
      <w:rPr>
        <w:sz w:val="22"/>
        <w:szCs w:val="22"/>
      </w:rPr>
      <w:t>31</w:t>
    </w:r>
  </w:p>
  <w:p w:rsidR="007E3D1D" w:rsidRPr="007E3D1D" w:rsidRDefault="007E3D1D" w:rsidP="007E3D1D">
    <w:pPr>
      <w:pStyle w:val="Header"/>
      <w:jc w:val="right"/>
      <w:rPr>
        <w:sz w:val="22"/>
        <w:szCs w:val="22"/>
      </w:rPr>
    </w:pPr>
    <w:r w:rsidRPr="007E3D1D">
      <w:rPr>
        <w:sz w:val="22"/>
        <w:szCs w:val="22"/>
      </w:rPr>
      <w:t>9 March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66F9"/>
    <w:multiLevelType w:val="hybridMultilevel"/>
    <w:tmpl w:val="FBF69B92"/>
    <w:lvl w:ilvl="0" w:tplc="7DB4AED4">
      <w:start w:val="1"/>
      <w:numFmt w:val="decimal"/>
      <w:lvlText w:val="%1."/>
      <w:lvlJc w:val="left"/>
      <w:pPr>
        <w:tabs>
          <w:tab w:val="num" w:pos="1800"/>
        </w:tabs>
        <w:ind w:left="1800" w:hanging="1440"/>
      </w:pPr>
      <w:rPr>
        <w:rFonts w:hint="default"/>
      </w:rPr>
    </w:lvl>
    <w:lvl w:ilvl="1" w:tplc="59AE9E3E">
      <w:start w:val="1"/>
      <w:numFmt w:val="lowerRoman"/>
      <w:lvlText w:val="(%2)"/>
      <w:lvlJc w:val="left"/>
      <w:pPr>
        <w:tabs>
          <w:tab w:val="num" w:pos="1800"/>
        </w:tabs>
        <w:ind w:left="1800" w:hanging="720"/>
      </w:pPr>
      <w:rPr>
        <w:rFonts w:hint="default"/>
        <w:b/>
      </w:r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1">
    <w:nsid w:val="76CD5EDD"/>
    <w:multiLevelType w:val="hybridMultilevel"/>
    <w:tmpl w:val="00921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stylePaneSortMethod w:val="000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1EC3"/>
    <w:rsid w:val="001A2874"/>
    <w:rsid w:val="007E3D1D"/>
    <w:rsid w:val="007F268C"/>
    <w:rsid w:val="00844957"/>
    <w:rsid w:val="00C335F4"/>
    <w:rsid w:val="00CF7BF9"/>
    <w:rsid w:val="00D300EA"/>
    <w:rsid w:val="00E86DCA"/>
  </w:rsids>
  <m:mathPr>
    <m:mathFont m:val="Cambria Math"/>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widowControl w:val="0"/>
      <w:spacing w:before="100" w:after="100"/>
    </w:pPr>
    <w:rPr>
      <w:snapToGrid w:val="0"/>
      <w:sz w:val="24"/>
      <w:lang w:eastAsia="en-US"/>
    </w:rPr>
  </w:style>
  <w:style w:type="paragraph" w:styleId="Heading1">
    <w:name w:val="heading 1"/>
    <w:basedOn w:val="Normal"/>
    <w:next w:val="Normal"/>
    <w:qFormat/>
    <w:pPr>
      <w:keepNext/>
      <w:tabs>
        <w:tab w:val="left" w:pos="720"/>
        <w:tab w:val="left" w:pos="5760"/>
        <w:tab w:val="left" w:pos="8910"/>
      </w:tabs>
      <w:spacing w:before="0" w:after="0"/>
      <w:outlineLvl w:val="0"/>
    </w:pPr>
    <w:rPr>
      <w:rFonts w:ascii="Arial" w:hAnsi="Arial" w:cs="Arial"/>
      <w:bCs/>
      <w:i/>
      <w:iCs/>
      <w:color w:val="FF000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dress">
    <w:name w:val="Address"/>
    <w:basedOn w:val="Normal"/>
    <w:next w:val="Normal"/>
    <w:pPr>
      <w:spacing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Comment">
    <w:name w:val="Comment"/>
    <w:rPr>
      <w:vanish/>
    </w:rPr>
  </w:style>
  <w:style w:type="character" w:customStyle="1" w:styleId="Definition">
    <w:name w:val="Definition"/>
    <w:rPr>
      <w:i/>
    </w:rPr>
  </w:style>
  <w:style w:type="paragraph" w:customStyle="1" w:styleId="DefinitionList">
    <w:name w:val="Definition List"/>
    <w:basedOn w:val="Normal"/>
    <w:next w:val="Normal"/>
    <w:pPr>
      <w:spacing w:after="0"/>
      <w:ind w:left="360"/>
    </w:pPr>
  </w:style>
  <w:style w:type="paragraph" w:customStyle="1" w:styleId="DefinitionTerm">
    <w:name w:val="Definition Term"/>
    <w:basedOn w:val="Normal"/>
    <w:next w:val="DefinitionList"/>
    <w:pPr>
      <w:spacing w:after="0"/>
    </w:pPr>
  </w:style>
  <w:style w:type="character" w:styleId="Emphasis">
    <w:name w:val="Emphasis"/>
    <w:basedOn w:val="DefaultParagraphFont"/>
    <w:qFormat/>
    <w:rPr>
      <w:i/>
    </w:rPr>
  </w:style>
  <w:style w:type="character" w:styleId="FollowedHyperlink">
    <w:name w:val="FollowedHyperlink"/>
    <w:basedOn w:val="DefaultParagraphFont"/>
    <w:rPr>
      <w:color w:val="800080"/>
      <w:u w:val="single"/>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character" w:customStyle="1" w:styleId="HTMLMarkup">
    <w:name w:val="HTML Markup"/>
    <w:rPr>
      <w:vanish/>
      <w:color w:val="FF0000"/>
    </w:rPr>
  </w:style>
  <w:style w:type="character" w:styleId="Hyperlink">
    <w:name w:val="Hyperlink"/>
    <w:basedOn w:val="DefaultParagraphFont"/>
    <w:rPr>
      <w:color w:val="0000FF"/>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character" w:customStyle="1" w:styleId="Sample">
    <w:name w:val="Sample"/>
    <w:rPr>
      <w:rFonts w:ascii="Courier New" w:hAnsi="Courier New"/>
    </w:rPr>
  </w:style>
  <w:style w:type="character" w:styleId="Strong">
    <w:name w:val="Strong"/>
    <w:basedOn w:val="DefaultParagraphFont"/>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paragraph" w:customStyle="1" w:styleId="glossary">
    <w:name w:val="glossary"/>
    <w:aliases w:val="g"/>
    <w:basedOn w:val="Normal"/>
    <w:pPr>
      <w:widowControl/>
      <w:spacing w:before="0" w:after="220" w:line="260" w:lineRule="atLeast"/>
      <w:ind w:left="720" w:right="26" w:hanging="720"/>
    </w:pPr>
    <w:rPr>
      <w:rFonts w:ascii="Times" w:hAnsi="Times"/>
      <w:snapToGrid/>
      <w:lang w:val="en-US"/>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tabs>
        <w:tab w:val="left" w:pos="720"/>
        <w:tab w:val="left" w:pos="5760"/>
        <w:tab w:val="left" w:pos="8910"/>
      </w:tabs>
    </w:pPr>
    <w:rPr>
      <w:rFonts w:ascii="Arial" w:hAnsi="Arial" w:cs="Arial"/>
      <w:sz w:val="18"/>
    </w:rPr>
  </w:style>
  <w:style w:type="table" w:styleId="TableGrid">
    <w:name w:val="Table Grid"/>
    <w:basedOn w:val="TableNormal"/>
    <w:rsid w:val="002B6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B676A"/>
    <w:pPr>
      <w:widowControl/>
      <w:spacing w:before="0" w:after="0"/>
    </w:pPr>
    <w:rPr>
      <w:rFonts w:ascii="Tahoma" w:hAnsi="Tahoma" w:cs="Tahoma"/>
      <w:snapToGrid/>
      <w:sz w:val="16"/>
      <w:szCs w:val="16"/>
      <w:lang w:eastAsia="en-GB"/>
    </w:rPr>
  </w:style>
  <w:style w:type="character" w:customStyle="1" w:styleId="BalloonTextChar">
    <w:name w:val="Balloon Text Char"/>
    <w:basedOn w:val="DefaultParagraphFont"/>
    <w:link w:val="BalloonText"/>
    <w:rsid w:val="002B676A"/>
    <w:rPr>
      <w:rFonts w:ascii="Tahoma" w:hAnsi="Tahoma" w:cs="Tahoma"/>
      <w:sz w:val="16"/>
      <w:szCs w:val="16"/>
      <w:lang w:eastAsia="en-GB"/>
    </w:rPr>
  </w:style>
  <w:style w:type="paragraph" w:styleId="MediumGrid1-Accent2">
    <w:name w:val="Medium Grid 1 Accent 2"/>
    <w:basedOn w:val="Normal"/>
    <w:uiPriority w:val="34"/>
    <w:qFormat/>
    <w:rsid w:val="002B676A"/>
    <w:pPr>
      <w:widowControl/>
      <w:spacing w:before="0" w:after="0"/>
      <w:ind w:left="720"/>
      <w:contextualSpacing/>
    </w:pPr>
    <w:rPr>
      <w:rFonts w:ascii="Arial" w:hAnsi="Arial"/>
      <w:snapToGrid/>
      <w:szCs w:val="24"/>
      <w:lang w:eastAsia="en-GB"/>
    </w:rPr>
  </w:style>
  <w:style w:type="paragraph" w:styleId="Header">
    <w:name w:val="header"/>
    <w:basedOn w:val="Normal"/>
    <w:link w:val="HeaderChar"/>
    <w:rsid w:val="002B676A"/>
    <w:pPr>
      <w:widowControl/>
      <w:tabs>
        <w:tab w:val="center" w:pos="4513"/>
        <w:tab w:val="right" w:pos="9026"/>
      </w:tabs>
      <w:spacing w:before="0" w:after="0"/>
    </w:pPr>
    <w:rPr>
      <w:rFonts w:ascii="Arial" w:hAnsi="Arial"/>
      <w:snapToGrid/>
      <w:szCs w:val="24"/>
      <w:lang w:eastAsia="en-GB"/>
    </w:rPr>
  </w:style>
  <w:style w:type="character" w:customStyle="1" w:styleId="HeaderChar">
    <w:name w:val="Header Char"/>
    <w:basedOn w:val="DefaultParagraphFont"/>
    <w:link w:val="Header"/>
    <w:rsid w:val="002B676A"/>
    <w:rPr>
      <w:rFonts w:ascii="Arial" w:hAnsi="Arial"/>
      <w:sz w:val="24"/>
      <w:szCs w:val="24"/>
      <w:lang w:eastAsia="en-GB"/>
    </w:rPr>
  </w:style>
  <w:style w:type="paragraph" w:styleId="Footer">
    <w:name w:val="footer"/>
    <w:basedOn w:val="Normal"/>
    <w:link w:val="FooterChar"/>
    <w:rsid w:val="002B676A"/>
    <w:pPr>
      <w:widowControl/>
      <w:tabs>
        <w:tab w:val="center" w:pos="4513"/>
        <w:tab w:val="right" w:pos="9026"/>
      </w:tabs>
      <w:spacing w:before="0" w:after="0"/>
    </w:pPr>
    <w:rPr>
      <w:rFonts w:ascii="Arial" w:hAnsi="Arial"/>
      <w:snapToGrid/>
      <w:szCs w:val="24"/>
      <w:lang w:eastAsia="en-GB"/>
    </w:rPr>
  </w:style>
  <w:style w:type="character" w:customStyle="1" w:styleId="FooterChar">
    <w:name w:val="Footer Char"/>
    <w:basedOn w:val="DefaultParagraphFont"/>
    <w:link w:val="Footer"/>
    <w:rsid w:val="002B676A"/>
    <w:rPr>
      <w:rFonts w:ascii="Arial" w:hAnsi="Arial"/>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Logo.dot</Template>
  <TotalTime>0</TotalTime>
  <Pages>3</Pages>
  <Words>840</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Loughborough Universtity</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Miranda Whyte</dc:creator>
  <cp:keywords/>
  <cp:lastModifiedBy>adcjw2</cp:lastModifiedBy>
  <cp:revision>2</cp:revision>
  <cp:lastPrinted>2011-02-25T17:17:00Z</cp:lastPrinted>
  <dcterms:created xsi:type="dcterms:W3CDTF">2011-03-02T12:45:00Z</dcterms:created>
  <dcterms:modified xsi:type="dcterms:W3CDTF">2011-03-02T12:45:00Z</dcterms:modified>
</cp:coreProperties>
</file>