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left w:w="80" w:type="dxa"/>
          <w:right w:w="80" w:type="dxa"/>
        </w:tblCellMar>
        <w:tblLook w:val="0000"/>
      </w:tblPr>
      <w:tblGrid>
        <w:gridCol w:w="5760"/>
        <w:gridCol w:w="3600"/>
      </w:tblGrid>
      <w:tr w:rsidR="009C47C5" w:rsidTr="00D15E20">
        <w:trPr>
          <w:trHeight w:val="1152"/>
        </w:trPr>
        <w:tc>
          <w:tcPr>
            <w:tcW w:w="5760" w:type="dxa"/>
          </w:tcPr>
          <w:p w:rsidR="009C47C5" w:rsidRDefault="009C47C5" w:rsidP="00D15E20">
            <w:pPr>
              <w:pStyle w:val="Heading1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600" w:type="dxa"/>
          </w:tcPr>
          <w:p w:rsidR="009C47C5" w:rsidRDefault="006708CA" w:rsidP="00D15E20">
            <w:pPr>
              <w:rPr>
                <w:rFonts w:ascii="Arial" w:hAnsi="Arial" w:cs="Arial"/>
              </w:rPr>
            </w:pPr>
            <w:r w:rsidRPr="006708CA">
              <w:rPr>
                <w:rFonts w:ascii="Arial Unicode MS" w:eastAsia="Arial Unicode MS" w:hAnsi="Arial Unicode MS" w:cs="Arial Unicode MS"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96pt;margin-top:-48pt;width:103.95pt;height:4.5pt;z-index:251655680;mso-position-horizontal-relative:text;mso-position-vertical-relative:text" stroked="f">
                  <v:textbox inset="6.75pt,3.75pt,6.75pt,3.75pt">
                    <w:txbxContent>
                      <w:p w:rsidR="00403A70" w:rsidRPr="00CD5FC0" w:rsidRDefault="00403A70" w:rsidP="00DA59A6">
                        <w:pPr>
                          <w:rPr>
                            <w:rFonts w:ascii="Arial Narrow" w:hAnsi="Arial Narrow" w:cs="Arial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9C47C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1590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7C5" w:rsidRPr="002044BC" w:rsidRDefault="009C47C5" w:rsidP="002044BC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Senate</w:t>
      </w:r>
    </w:p>
    <w:p w:rsidR="008B6DCB" w:rsidRDefault="008B6DCB" w:rsidP="008F4AF7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22"/>
          <w:szCs w:val="22"/>
        </w:rPr>
      </w:pPr>
    </w:p>
    <w:p w:rsidR="008F4AF7" w:rsidRPr="00F97F21" w:rsidRDefault="008F4AF7" w:rsidP="008F4AF7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i/>
          <w:color w:val="FF0000"/>
          <w:sz w:val="24"/>
          <w:szCs w:val="24"/>
        </w:rPr>
      </w:pPr>
      <w:r w:rsidRPr="00F97F21">
        <w:rPr>
          <w:rFonts w:ascii="Arial" w:hAnsi="Arial" w:cs="Arial"/>
          <w:sz w:val="24"/>
          <w:szCs w:val="24"/>
        </w:rPr>
        <w:t>Subject:</w:t>
      </w:r>
      <w:r w:rsidRPr="00F97F21">
        <w:rPr>
          <w:rFonts w:ascii="Arial" w:hAnsi="Arial" w:cs="Arial"/>
          <w:sz w:val="24"/>
          <w:szCs w:val="24"/>
        </w:rPr>
        <w:tab/>
      </w:r>
      <w:r w:rsidR="008B6DCB" w:rsidRPr="00F97F21">
        <w:rPr>
          <w:rFonts w:ascii="Arial" w:hAnsi="Arial" w:cs="Arial"/>
          <w:sz w:val="24"/>
          <w:szCs w:val="24"/>
        </w:rPr>
        <w:t xml:space="preserve">Naming of </w:t>
      </w:r>
      <w:r w:rsidR="00983FAF" w:rsidRPr="00F97F21">
        <w:rPr>
          <w:rFonts w:ascii="Arial" w:hAnsi="Arial" w:cs="Arial"/>
          <w:sz w:val="24"/>
          <w:szCs w:val="24"/>
        </w:rPr>
        <w:t>Schools</w:t>
      </w:r>
      <w:r w:rsidR="008B6DCB" w:rsidRPr="00F97F21">
        <w:rPr>
          <w:rFonts w:ascii="Arial" w:hAnsi="Arial" w:cs="Arial"/>
          <w:sz w:val="24"/>
          <w:szCs w:val="24"/>
        </w:rPr>
        <w:t xml:space="preserve"> and Continuation of Departments</w:t>
      </w:r>
    </w:p>
    <w:p w:rsidR="008F4AF7" w:rsidRPr="00F97F21" w:rsidRDefault="008F4AF7" w:rsidP="002A6792">
      <w:pPr>
        <w:tabs>
          <w:tab w:val="left" w:pos="1170"/>
        </w:tabs>
        <w:ind w:left="1170" w:hanging="1170"/>
        <w:outlineLvl w:val="0"/>
        <w:rPr>
          <w:rFonts w:ascii="Arial" w:eastAsia="Calibri" w:hAnsi="Arial" w:cs="Arial"/>
          <w:b/>
          <w:sz w:val="24"/>
          <w:szCs w:val="24"/>
        </w:rPr>
      </w:pPr>
      <w:r w:rsidRPr="00F97F21">
        <w:rPr>
          <w:rFonts w:ascii="Arial" w:eastAsia="Calibri" w:hAnsi="Arial" w:cs="Arial"/>
          <w:b/>
          <w:sz w:val="24"/>
          <w:szCs w:val="24"/>
        </w:rPr>
        <w:t>Origin:</w:t>
      </w:r>
      <w:r w:rsidRPr="00F97F21">
        <w:rPr>
          <w:rFonts w:ascii="Arial" w:hAnsi="Arial" w:cs="Arial"/>
          <w:b/>
          <w:sz w:val="24"/>
          <w:szCs w:val="24"/>
        </w:rPr>
        <w:tab/>
      </w:r>
      <w:r w:rsidR="009C2418" w:rsidRPr="00F97F21">
        <w:rPr>
          <w:rFonts w:ascii="Arial" w:hAnsi="Arial" w:cs="Arial"/>
          <w:b/>
          <w:sz w:val="24"/>
          <w:szCs w:val="24"/>
        </w:rPr>
        <w:t xml:space="preserve">University Structure </w:t>
      </w:r>
      <w:r w:rsidR="002A6792" w:rsidRPr="00F97F21">
        <w:rPr>
          <w:rFonts w:ascii="Arial" w:hAnsi="Arial" w:cs="Arial"/>
          <w:b/>
          <w:sz w:val="24"/>
          <w:szCs w:val="24"/>
        </w:rPr>
        <w:t xml:space="preserve">Project Management Board </w:t>
      </w:r>
    </w:p>
    <w:p w:rsidR="008F4AF7" w:rsidRPr="00CA6D84" w:rsidRDefault="008F4AF7" w:rsidP="00F606E5">
      <w:pPr>
        <w:tabs>
          <w:tab w:val="left" w:pos="1170"/>
          <w:tab w:val="left" w:pos="9781"/>
        </w:tabs>
        <w:rPr>
          <w:rFonts w:ascii="Arial" w:hAnsi="Arial" w:cs="Arial"/>
          <w:b/>
          <w:u w:val="single"/>
        </w:rPr>
      </w:pPr>
      <w:r w:rsidRPr="00CA6D84">
        <w:rPr>
          <w:rFonts w:ascii="Arial" w:eastAsia="Calibri" w:hAnsi="Arial" w:cs="Arial"/>
          <w:b/>
          <w:u w:val="single"/>
        </w:rPr>
        <w:tab/>
      </w:r>
      <w:r w:rsidRPr="00CA6D84">
        <w:rPr>
          <w:rFonts w:ascii="Arial" w:eastAsia="Calibri" w:hAnsi="Arial" w:cs="Arial"/>
          <w:b/>
          <w:u w:val="single"/>
        </w:rPr>
        <w:tab/>
      </w:r>
    </w:p>
    <w:p w:rsidR="008F4AF7" w:rsidRPr="00CA6D84" w:rsidRDefault="008F4AF7">
      <w:pPr>
        <w:rPr>
          <w:rFonts w:ascii="Arial" w:hAnsi="Arial" w:cs="Arial"/>
          <w:b/>
        </w:rPr>
      </w:pPr>
    </w:p>
    <w:p w:rsidR="008F4AF7" w:rsidRPr="00CA6D84" w:rsidRDefault="00FC6BB6">
      <w:pPr>
        <w:rPr>
          <w:rFonts w:ascii="Arial" w:hAnsi="Arial" w:cs="Arial"/>
        </w:rPr>
      </w:pPr>
      <w:r w:rsidRPr="00CA6D84">
        <w:rPr>
          <w:rFonts w:ascii="Arial" w:hAnsi="Arial" w:cs="Arial"/>
          <w:b/>
        </w:rPr>
        <w:t>Executive Summary:</w:t>
      </w:r>
      <w:r w:rsidR="008F4AF7" w:rsidRPr="00CA6D84">
        <w:rPr>
          <w:rFonts w:ascii="Arial" w:hAnsi="Arial" w:cs="Arial"/>
        </w:rPr>
        <w:tab/>
      </w:r>
    </w:p>
    <w:p w:rsidR="001533E9" w:rsidRDefault="009C2418" w:rsidP="00F606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Follo</w:t>
      </w:r>
      <w:r w:rsidR="002320A5">
        <w:rPr>
          <w:rFonts w:ascii="Arial" w:hAnsi="Arial" w:cs="Arial"/>
        </w:rPr>
        <w:t>wing</w:t>
      </w:r>
      <w:r w:rsidR="001533E9">
        <w:rPr>
          <w:rFonts w:ascii="Arial" w:hAnsi="Arial" w:cs="Arial"/>
        </w:rPr>
        <w:t xml:space="preserve"> consultation with staff in their schools, the Deans (elect) submitted proposals to the PMB regarding the naming of academic schools, which were</w:t>
      </w:r>
      <w:r w:rsidR="002320A5">
        <w:rPr>
          <w:rFonts w:ascii="Arial" w:hAnsi="Arial" w:cs="Arial"/>
        </w:rPr>
        <w:t xml:space="preserve"> discuss</w:t>
      </w:r>
      <w:r w:rsidR="001533E9">
        <w:rPr>
          <w:rFonts w:ascii="Arial" w:hAnsi="Arial" w:cs="Arial"/>
        </w:rPr>
        <w:t>ed</w:t>
      </w:r>
      <w:r w:rsidR="008B6DCB">
        <w:rPr>
          <w:rFonts w:ascii="Arial" w:hAnsi="Arial" w:cs="Arial"/>
        </w:rPr>
        <w:t xml:space="preserve"> </w:t>
      </w:r>
      <w:r w:rsidR="00036765">
        <w:rPr>
          <w:rFonts w:ascii="Arial" w:hAnsi="Arial" w:cs="Arial"/>
        </w:rPr>
        <w:t xml:space="preserve">and supported </w:t>
      </w:r>
      <w:r w:rsidR="006855B4">
        <w:rPr>
          <w:rFonts w:ascii="Arial" w:hAnsi="Arial" w:cs="Arial"/>
        </w:rPr>
        <w:t xml:space="preserve">by the PMB at its meeting </w:t>
      </w:r>
      <w:r w:rsidR="001533E9">
        <w:rPr>
          <w:rFonts w:ascii="Arial" w:hAnsi="Arial" w:cs="Arial"/>
        </w:rPr>
        <w:t>on 28 February</w:t>
      </w:r>
      <w:r w:rsidR="00750F16">
        <w:rPr>
          <w:rFonts w:ascii="Arial" w:hAnsi="Arial" w:cs="Arial"/>
        </w:rPr>
        <w:t xml:space="preserve"> 2011</w:t>
      </w:r>
      <w:r w:rsidR="001533E9">
        <w:rPr>
          <w:rFonts w:ascii="Arial" w:hAnsi="Arial" w:cs="Arial"/>
        </w:rPr>
        <w:t>.</w:t>
      </w:r>
      <w:r w:rsidR="00036765">
        <w:rPr>
          <w:rFonts w:ascii="Arial" w:hAnsi="Arial" w:cs="Arial"/>
        </w:rPr>
        <w:t xml:space="preserve"> </w:t>
      </w:r>
    </w:p>
    <w:p w:rsidR="001533E9" w:rsidRDefault="001533E9" w:rsidP="00F606E5">
      <w:pPr>
        <w:rPr>
          <w:rFonts w:ascii="Arial" w:hAnsi="Arial" w:cs="Arial"/>
        </w:rPr>
      </w:pPr>
    </w:p>
    <w:p w:rsidR="004F4EE2" w:rsidRDefault="00403A70" w:rsidP="00B60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prop</w:t>
      </w:r>
      <w:r w:rsidR="00B603B6">
        <w:rPr>
          <w:rFonts w:ascii="Arial" w:hAnsi="Arial" w:cs="Arial"/>
        </w:rPr>
        <w:t>osed that the current School</w:t>
      </w:r>
      <w:r>
        <w:rPr>
          <w:rFonts w:ascii="Arial" w:hAnsi="Arial" w:cs="Arial"/>
        </w:rPr>
        <w:t xml:space="preserve"> of Mathematics exist as the Department of Mathematical Sciences and the Mathematics Education Centre from 1 August 2011. </w:t>
      </w:r>
    </w:p>
    <w:p w:rsidR="00403A70" w:rsidRDefault="00403A70" w:rsidP="00F606E5">
      <w:pPr>
        <w:rPr>
          <w:rFonts w:ascii="Arial" w:hAnsi="Arial" w:cs="Arial"/>
        </w:rPr>
      </w:pPr>
    </w:p>
    <w:p w:rsidR="00FC6BB6" w:rsidRPr="001533E9" w:rsidRDefault="00396DD0" w:rsidP="00F606E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</w:t>
      </w:r>
      <w:r w:rsidR="004F4EE2">
        <w:rPr>
          <w:rFonts w:ascii="Arial" w:hAnsi="Arial" w:cs="Arial"/>
          <w:i/>
        </w:rPr>
        <w:t xml:space="preserve">.B: </w:t>
      </w:r>
      <w:r w:rsidR="001533E9" w:rsidRPr="001533E9">
        <w:rPr>
          <w:rFonts w:ascii="Arial" w:hAnsi="Arial" w:cs="Arial"/>
          <w:i/>
        </w:rPr>
        <w:t xml:space="preserve">The naming </w:t>
      </w:r>
      <w:r w:rsidR="001533E9">
        <w:rPr>
          <w:rFonts w:ascii="Arial" w:hAnsi="Arial" w:cs="Arial"/>
          <w:i/>
        </w:rPr>
        <w:t>of three schools ha</w:t>
      </w:r>
      <w:r w:rsidR="001533E9" w:rsidRPr="001533E9">
        <w:rPr>
          <w:rFonts w:ascii="Arial" w:hAnsi="Arial" w:cs="Arial"/>
          <w:i/>
        </w:rPr>
        <w:t>s already been agreed by Senate</w:t>
      </w:r>
      <w:r w:rsidR="003147B0">
        <w:rPr>
          <w:rFonts w:ascii="Arial" w:hAnsi="Arial" w:cs="Arial"/>
          <w:i/>
        </w:rPr>
        <w:t xml:space="preserve"> (as indicated), and</w:t>
      </w:r>
      <w:r w:rsidR="001533E9" w:rsidRPr="001533E9">
        <w:rPr>
          <w:rFonts w:ascii="Arial" w:hAnsi="Arial" w:cs="Arial"/>
          <w:i/>
        </w:rPr>
        <w:t xml:space="preserve"> are included</w:t>
      </w:r>
      <w:r w:rsidR="003147B0">
        <w:rPr>
          <w:rFonts w:ascii="Arial" w:hAnsi="Arial" w:cs="Arial"/>
          <w:i/>
        </w:rPr>
        <w:t xml:space="preserve"> </w:t>
      </w:r>
      <w:r w:rsidR="001533E9" w:rsidRPr="001533E9">
        <w:rPr>
          <w:rFonts w:ascii="Arial" w:hAnsi="Arial" w:cs="Arial"/>
          <w:i/>
        </w:rPr>
        <w:t xml:space="preserve">for completeness. </w:t>
      </w:r>
      <w:r w:rsidR="00E76F0D" w:rsidRPr="001533E9">
        <w:rPr>
          <w:rFonts w:ascii="Arial" w:hAnsi="Arial" w:cs="Arial"/>
          <w:i/>
        </w:rPr>
        <w:t xml:space="preserve">  </w:t>
      </w:r>
      <w:r w:rsidR="008B6DCB" w:rsidRPr="001533E9">
        <w:rPr>
          <w:rFonts w:ascii="Arial" w:hAnsi="Arial" w:cs="Arial"/>
          <w:i/>
        </w:rPr>
        <w:t xml:space="preserve"> </w:t>
      </w:r>
    </w:p>
    <w:p w:rsidR="00FC6BB6" w:rsidRPr="00CA6D84" w:rsidRDefault="00FC6BB6">
      <w:pPr>
        <w:rPr>
          <w:rFonts w:ascii="Arial" w:hAnsi="Arial" w:cs="Arial"/>
        </w:rPr>
      </w:pPr>
    </w:p>
    <w:p w:rsidR="008F4AF7" w:rsidRPr="00CA6D84" w:rsidRDefault="008F4AF7">
      <w:pPr>
        <w:rPr>
          <w:rFonts w:ascii="Arial" w:hAnsi="Arial" w:cs="Arial"/>
          <w:b/>
        </w:rPr>
      </w:pPr>
      <w:r w:rsidRPr="00CA6D84">
        <w:rPr>
          <w:rFonts w:ascii="Arial" w:hAnsi="Arial" w:cs="Arial"/>
          <w:b/>
        </w:rPr>
        <w:t>Senate Action Required</w:t>
      </w:r>
      <w:r w:rsidR="00FC6BB6" w:rsidRPr="00CA6D84">
        <w:rPr>
          <w:rFonts w:ascii="Arial" w:hAnsi="Arial" w:cs="Arial"/>
          <w:b/>
        </w:rPr>
        <w:t>:</w:t>
      </w:r>
      <w:r w:rsidRPr="00CA6D84">
        <w:rPr>
          <w:rFonts w:ascii="Arial" w:hAnsi="Arial" w:cs="Arial"/>
          <w:b/>
        </w:rPr>
        <w:tab/>
      </w:r>
    </w:p>
    <w:p w:rsidR="00FC6BB6" w:rsidRDefault="008F4AF7" w:rsidP="001533E9">
      <w:pPr>
        <w:jc w:val="both"/>
        <w:rPr>
          <w:rFonts w:ascii="Arial" w:hAnsi="Arial" w:cs="Arial"/>
        </w:rPr>
      </w:pPr>
      <w:r w:rsidRPr="00CA6D84">
        <w:rPr>
          <w:rFonts w:ascii="Arial" w:hAnsi="Arial" w:cs="Arial"/>
        </w:rPr>
        <w:t xml:space="preserve">Senate is asked </w:t>
      </w:r>
      <w:r w:rsidR="00C478A9">
        <w:rPr>
          <w:rFonts w:ascii="Arial" w:hAnsi="Arial" w:cs="Arial"/>
        </w:rPr>
        <w:t xml:space="preserve">to RECOMMEND to Council </w:t>
      </w:r>
      <w:r w:rsidR="00E352A1">
        <w:rPr>
          <w:rFonts w:ascii="Arial" w:hAnsi="Arial" w:cs="Arial"/>
        </w:rPr>
        <w:t>proposals for the naming of the academic schools</w:t>
      </w:r>
      <w:r w:rsidR="008B6DCB">
        <w:rPr>
          <w:rFonts w:ascii="Arial" w:hAnsi="Arial" w:cs="Arial"/>
        </w:rPr>
        <w:t xml:space="preserve"> and the continuation of </w:t>
      </w:r>
      <w:r w:rsidR="00694AB2">
        <w:rPr>
          <w:rFonts w:ascii="Arial" w:hAnsi="Arial" w:cs="Arial"/>
        </w:rPr>
        <w:t xml:space="preserve">a number of </w:t>
      </w:r>
      <w:r w:rsidR="008B6DCB">
        <w:rPr>
          <w:rFonts w:ascii="Arial" w:hAnsi="Arial" w:cs="Arial"/>
        </w:rPr>
        <w:t>departments</w:t>
      </w:r>
      <w:r w:rsidR="00C478A9">
        <w:rPr>
          <w:rFonts w:ascii="Arial" w:hAnsi="Arial" w:cs="Arial"/>
        </w:rPr>
        <w:t xml:space="preserve"> from 1 August 2011</w:t>
      </w:r>
      <w:r w:rsidR="009C2418">
        <w:rPr>
          <w:rFonts w:ascii="Arial" w:hAnsi="Arial" w:cs="Arial"/>
        </w:rPr>
        <w:t>.</w:t>
      </w:r>
    </w:p>
    <w:p w:rsidR="008F4AF7" w:rsidRPr="00CA6D84" w:rsidRDefault="008F4AF7" w:rsidP="00F606E5">
      <w:pPr>
        <w:tabs>
          <w:tab w:val="left" w:pos="1170"/>
          <w:tab w:val="left" w:pos="9781"/>
        </w:tabs>
        <w:rPr>
          <w:rFonts w:ascii="Arial" w:eastAsia="Calibri" w:hAnsi="Arial" w:cs="Arial"/>
          <w:b/>
          <w:u w:val="single"/>
        </w:rPr>
      </w:pPr>
      <w:r w:rsidRPr="00CA6D84">
        <w:rPr>
          <w:rFonts w:ascii="Arial" w:eastAsia="Calibri" w:hAnsi="Arial" w:cs="Arial"/>
          <w:b/>
          <w:u w:val="single"/>
        </w:rPr>
        <w:tab/>
      </w:r>
      <w:r w:rsidRPr="00CA6D84">
        <w:rPr>
          <w:rFonts w:ascii="Arial" w:eastAsia="Calibri" w:hAnsi="Arial" w:cs="Arial"/>
          <w:b/>
          <w:u w:val="single"/>
        </w:rPr>
        <w:tab/>
      </w:r>
    </w:p>
    <w:p w:rsidR="00680A5D" w:rsidRPr="00680A5D" w:rsidRDefault="00680A5D" w:rsidP="00680A5D">
      <w:pPr>
        <w:rPr>
          <w:rFonts w:ascii="Arial" w:hAnsi="Arial" w:cs="Arial"/>
        </w:rPr>
      </w:pPr>
    </w:p>
    <w:tbl>
      <w:tblPr>
        <w:tblW w:w="9796" w:type="dxa"/>
        <w:tblInd w:w="93" w:type="dxa"/>
        <w:tblLook w:val="04A0"/>
      </w:tblPr>
      <w:tblGrid>
        <w:gridCol w:w="2992"/>
        <w:gridCol w:w="4111"/>
        <w:gridCol w:w="2693"/>
      </w:tblGrid>
      <w:tr w:rsidR="00D226B3" w:rsidRPr="00D226B3" w:rsidTr="00820A1D">
        <w:trPr>
          <w:trHeight w:val="315"/>
        </w:trPr>
        <w:tc>
          <w:tcPr>
            <w:tcW w:w="299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D226B3" w:rsidRPr="00E13F2C" w:rsidRDefault="00D226B3" w:rsidP="00D226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E13F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>School</w:t>
            </w:r>
          </w:p>
        </w:tc>
        <w:tc>
          <w:tcPr>
            <w:tcW w:w="4111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D226B3" w:rsidRPr="00E13F2C" w:rsidRDefault="00D226B3" w:rsidP="00D226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E13F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>School Title</w:t>
            </w:r>
          </w:p>
        </w:tc>
        <w:tc>
          <w:tcPr>
            <w:tcW w:w="2693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D226B3" w:rsidRPr="00E13F2C" w:rsidRDefault="00D226B3" w:rsidP="00D226B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E13F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en-GB"/>
              </w:rPr>
              <w:t>Constituent Departments</w:t>
            </w:r>
          </w:p>
        </w:tc>
      </w:tr>
      <w:tr w:rsidR="00D226B3" w:rsidRPr="00D226B3" w:rsidTr="00820A1D">
        <w:trPr>
          <w:trHeight w:val="269"/>
        </w:trPr>
        <w:tc>
          <w:tcPr>
            <w:tcW w:w="2992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226B3" w:rsidRPr="00A15795" w:rsidRDefault="00D226B3" w:rsidP="00D226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111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226B3" w:rsidRPr="00A15795" w:rsidRDefault="00D226B3" w:rsidP="00D226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693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D226B3" w:rsidRPr="00A15795" w:rsidRDefault="00D226B3" w:rsidP="00D226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D226B3" w:rsidRPr="00D226B3" w:rsidTr="00820A1D">
        <w:trPr>
          <w:trHeight w:val="915"/>
        </w:trPr>
        <w:tc>
          <w:tcPr>
            <w:tcW w:w="2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comprising the Schools of Arts and the Department of English and Drama</w:t>
            </w:r>
          </w:p>
        </w:tc>
        <w:tc>
          <w:tcPr>
            <w:tcW w:w="41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of the Arts, English and Drama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C478A9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School of t</w:t>
            </w:r>
            <w:r w:rsidR="00D226B3"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 Arts                       The Department of English and Drama</w:t>
            </w:r>
          </w:p>
        </w:tc>
      </w:tr>
      <w:tr w:rsidR="00D226B3" w:rsidRPr="00D226B3" w:rsidTr="00820A1D">
        <w:trPr>
          <w:trHeight w:val="330"/>
        </w:trPr>
        <w:tc>
          <w:tcPr>
            <w:tcW w:w="2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of Civil and Building Engineering</w:t>
            </w:r>
          </w:p>
        </w:tc>
        <w:tc>
          <w:tcPr>
            <w:tcW w:w="41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of Civil and Building Engineering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000000" w:fill="BFBFBF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226B3" w:rsidRPr="00D226B3" w:rsidTr="00820A1D">
        <w:trPr>
          <w:trHeight w:val="2430"/>
        </w:trPr>
        <w:tc>
          <w:tcPr>
            <w:tcW w:w="2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comprising the department of Chemistry, Computer Science, Information Science, Physics and the School of Mathematics</w:t>
            </w:r>
          </w:p>
        </w:tc>
        <w:tc>
          <w:tcPr>
            <w:tcW w:w="41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of Science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1E15F9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Department of Chemistry  Department of Computer Science  Department of Information Science                                Department of Mathematical Sciences                            Mathematics Education Centre  </w:t>
            </w:r>
          </w:p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of Physics</w:t>
            </w:r>
          </w:p>
        </w:tc>
      </w:tr>
      <w:tr w:rsidR="00D226B3" w:rsidRPr="00D226B3" w:rsidTr="00820A1D">
        <w:trPr>
          <w:trHeight w:val="1230"/>
        </w:trPr>
        <w:tc>
          <w:tcPr>
            <w:tcW w:w="2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comprising the departments of Aeronautical and Automotive Engineering, Chemical Engineering and Materials</w:t>
            </w:r>
          </w:p>
        </w:tc>
        <w:tc>
          <w:tcPr>
            <w:tcW w:w="41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of Aeronautical, Automotive, Chemical and Materials Engineering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5615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Aeronautical &amp; Automotive Engineering                                 Chemical Engineering                     Materials</w:t>
            </w:r>
          </w:p>
        </w:tc>
      </w:tr>
      <w:tr w:rsidR="00D226B3" w:rsidRPr="00D226B3" w:rsidTr="00820A1D">
        <w:trPr>
          <w:trHeight w:val="330"/>
        </w:trPr>
        <w:tc>
          <w:tcPr>
            <w:tcW w:w="2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School of Business and Economics </w:t>
            </w:r>
          </w:p>
        </w:tc>
        <w:tc>
          <w:tcPr>
            <w:tcW w:w="41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of Business and Economics *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000000" w:fill="BFBFBF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226B3" w:rsidRPr="00D226B3" w:rsidTr="00820A1D">
        <w:trPr>
          <w:trHeight w:val="330"/>
        </w:trPr>
        <w:tc>
          <w:tcPr>
            <w:tcW w:w="2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Loughborough Design School</w:t>
            </w:r>
          </w:p>
        </w:tc>
        <w:tc>
          <w:tcPr>
            <w:tcW w:w="41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Loughborough Design School *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000000" w:fill="BFBFBF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226B3" w:rsidRPr="00D226B3" w:rsidTr="00820A1D">
        <w:trPr>
          <w:trHeight w:val="630"/>
        </w:trPr>
        <w:tc>
          <w:tcPr>
            <w:tcW w:w="2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of Electronic, Electrical and Systems Engineering</w:t>
            </w:r>
          </w:p>
        </w:tc>
        <w:tc>
          <w:tcPr>
            <w:tcW w:w="41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of Electronic, Electrical and Systems Engineering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000000" w:fill="BFBFBF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226B3" w:rsidRPr="00D226B3" w:rsidTr="00820A1D">
        <w:trPr>
          <w:trHeight w:val="930"/>
        </w:trPr>
        <w:tc>
          <w:tcPr>
            <w:tcW w:w="2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School comprising the departments of Geography, PHIR and Social Sciences</w:t>
            </w:r>
          </w:p>
        </w:tc>
        <w:tc>
          <w:tcPr>
            <w:tcW w:w="41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of Social, Political and Geographical Sciences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Geography                                        Social Sciences                                PHIR</w:t>
            </w:r>
          </w:p>
        </w:tc>
      </w:tr>
      <w:tr w:rsidR="00D226B3" w:rsidRPr="00D226B3" w:rsidTr="00820A1D">
        <w:trPr>
          <w:trHeight w:val="630"/>
        </w:trPr>
        <w:tc>
          <w:tcPr>
            <w:tcW w:w="2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Wolfson School of Mechanical and Manufacturing Engineering</w:t>
            </w:r>
          </w:p>
        </w:tc>
        <w:tc>
          <w:tcPr>
            <w:tcW w:w="41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Wolfson School of Mechanical and Manufacturing Engineering 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000000" w:fill="BFBFBF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226B3" w:rsidRPr="00D226B3" w:rsidTr="00820A1D">
        <w:trPr>
          <w:trHeight w:val="615"/>
        </w:trPr>
        <w:tc>
          <w:tcPr>
            <w:tcW w:w="29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School of Sport, Exercise and Health Sciences </w:t>
            </w:r>
          </w:p>
        </w:tc>
        <w:tc>
          <w:tcPr>
            <w:tcW w:w="41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School of Sport, Exercise and Health Sciences *</w:t>
            </w:r>
          </w:p>
        </w:tc>
        <w:tc>
          <w:tcPr>
            <w:tcW w:w="26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000000" w:fill="BFBFBF"/>
            <w:noWrap/>
            <w:vAlign w:val="center"/>
            <w:hideMark/>
          </w:tcPr>
          <w:p w:rsidR="00D226B3" w:rsidRPr="00A15795" w:rsidRDefault="00D226B3" w:rsidP="00D226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226B3" w:rsidRPr="00D226B3" w:rsidTr="00820A1D">
        <w:trPr>
          <w:trHeight w:val="300"/>
        </w:trPr>
        <w:tc>
          <w:tcPr>
            <w:tcW w:w="2992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B3" w:rsidRPr="00A15795" w:rsidRDefault="00D226B3" w:rsidP="00D226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B3" w:rsidRPr="00D226B3" w:rsidRDefault="00D226B3" w:rsidP="00D226B3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B3" w:rsidRPr="00D226B3" w:rsidRDefault="00D226B3" w:rsidP="00D226B3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  <w:tr w:rsidR="00D226B3" w:rsidRPr="00D226B3" w:rsidTr="00F606E5">
        <w:trPr>
          <w:trHeight w:val="30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B3" w:rsidRPr="00A15795" w:rsidRDefault="00D226B3" w:rsidP="00D226B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15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 Already approved by Senate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6B3" w:rsidRPr="00D226B3" w:rsidRDefault="00D226B3" w:rsidP="00D226B3">
            <w:pPr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</w:tr>
    </w:tbl>
    <w:p w:rsidR="00A455C9" w:rsidRPr="00CA6D84" w:rsidRDefault="00A455C9" w:rsidP="008F4AF7">
      <w:pPr>
        <w:tabs>
          <w:tab w:val="left" w:pos="720"/>
          <w:tab w:val="left" w:pos="5760"/>
          <w:tab w:val="left" w:pos="8910"/>
        </w:tabs>
        <w:rPr>
          <w:rFonts w:ascii="Arial" w:eastAsia="Calibri" w:hAnsi="Arial" w:cs="Arial"/>
        </w:rPr>
      </w:pPr>
    </w:p>
    <w:p w:rsidR="008F4AF7" w:rsidRDefault="008F4AF7" w:rsidP="00F606E5">
      <w:pPr>
        <w:tabs>
          <w:tab w:val="left" w:pos="720"/>
          <w:tab w:val="left" w:pos="5760"/>
          <w:tab w:val="left" w:pos="9781"/>
        </w:tabs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ab/>
      </w:r>
      <w:r>
        <w:rPr>
          <w:rFonts w:ascii="Arial" w:eastAsia="Calibri" w:hAnsi="Arial" w:cs="Arial"/>
          <w:b/>
          <w:u w:val="single"/>
        </w:rPr>
        <w:tab/>
      </w:r>
      <w:r>
        <w:rPr>
          <w:rFonts w:ascii="Arial" w:eastAsia="Calibri" w:hAnsi="Arial" w:cs="Arial"/>
          <w:b/>
          <w:u w:val="single"/>
        </w:rPr>
        <w:tab/>
      </w:r>
    </w:p>
    <w:p w:rsidR="008F4AF7" w:rsidRPr="0052232E" w:rsidRDefault="008F4AF7" w:rsidP="008F4AF7">
      <w:pPr>
        <w:pStyle w:val="BodyText"/>
        <w:rPr>
          <w:sz w:val="16"/>
          <w:szCs w:val="16"/>
        </w:rPr>
      </w:pPr>
      <w:proofErr w:type="gramStart"/>
      <w:r w:rsidRPr="0052232E">
        <w:rPr>
          <w:sz w:val="16"/>
          <w:szCs w:val="16"/>
        </w:rPr>
        <w:t>Aut</w:t>
      </w:r>
      <w:r w:rsidR="00A014FC" w:rsidRPr="0052232E">
        <w:rPr>
          <w:sz w:val="16"/>
          <w:szCs w:val="16"/>
        </w:rPr>
        <w:t xml:space="preserve">hor – </w:t>
      </w:r>
      <w:r w:rsidR="00BB2FC6">
        <w:rPr>
          <w:sz w:val="16"/>
          <w:szCs w:val="16"/>
        </w:rPr>
        <w:t>Tom Orrill</w:t>
      </w:r>
      <w:r w:rsidR="00A014FC" w:rsidRPr="0052232E">
        <w:rPr>
          <w:sz w:val="16"/>
          <w:szCs w:val="16"/>
        </w:rPr>
        <w:tab/>
      </w:r>
      <w:r w:rsidR="00A014FC" w:rsidRPr="0052232E">
        <w:rPr>
          <w:sz w:val="16"/>
          <w:szCs w:val="16"/>
        </w:rPr>
        <w:br/>
        <w:t xml:space="preserve">Date – </w:t>
      </w:r>
      <w:r w:rsidR="0052232E" w:rsidRPr="0052232E">
        <w:rPr>
          <w:sz w:val="16"/>
          <w:szCs w:val="16"/>
        </w:rPr>
        <w:t>2 March</w:t>
      </w:r>
      <w:r w:rsidR="004D2D27" w:rsidRPr="0052232E">
        <w:rPr>
          <w:sz w:val="16"/>
          <w:szCs w:val="16"/>
        </w:rPr>
        <w:t xml:space="preserve"> 2011</w:t>
      </w:r>
      <w:r w:rsidRPr="0052232E">
        <w:rPr>
          <w:sz w:val="16"/>
          <w:szCs w:val="16"/>
        </w:rPr>
        <w:br/>
        <w:t>Copyright (c) Loughborough University.</w:t>
      </w:r>
      <w:proofErr w:type="gramEnd"/>
      <w:r w:rsidRPr="0052232E">
        <w:rPr>
          <w:sz w:val="16"/>
          <w:szCs w:val="16"/>
        </w:rPr>
        <w:t xml:space="preserve">  All rights reserved.</w:t>
      </w:r>
      <w:r w:rsidRPr="0052232E">
        <w:rPr>
          <w:sz w:val="16"/>
          <w:szCs w:val="16"/>
        </w:rPr>
        <w:tab/>
      </w:r>
    </w:p>
    <w:p w:rsidR="004B57B9" w:rsidRDefault="004B57B9" w:rsidP="001A2E63">
      <w:pPr>
        <w:jc w:val="both"/>
        <w:rPr>
          <w:rFonts w:ascii="Arial" w:hAnsi="Arial" w:cs="Arial"/>
          <w:sz w:val="20"/>
          <w:szCs w:val="20"/>
        </w:rPr>
      </w:pPr>
    </w:p>
    <w:p w:rsidR="002D45D3" w:rsidRDefault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p w:rsidR="002D45D3" w:rsidRDefault="002D45D3" w:rsidP="002D45D3">
      <w:pPr>
        <w:rPr>
          <w:rFonts w:ascii="Arial" w:hAnsi="Arial" w:cs="Arial"/>
          <w:sz w:val="20"/>
          <w:szCs w:val="20"/>
        </w:rPr>
      </w:pPr>
    </w:p>
    <w:sectPr w:rsidR="002D45D3" w:rsidSect="004D0CE0">
      <w:headerReference w:type="first" r:id="rId8"/>
      <w:pgSz w:w="11894" w:h="16834"/>
      <w:pgMar w:top="1134" w:right="979" w:bottom="993" w:left="1134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F3" w:rsidRDefault="003345F3" w:rsidP="00550A97">
      <w:r>
        <w:separator/>
      </w:r>
    </w:p>
  </w:endnote>
  <w:endnote w:type="continuationSeparator" w:id="0">
    <w:p w:rsidR="003345F3" w:rsidRDefault="003345F3" w:rsidP="0055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F3" w:rsidRDefault="003345F3" w:rsidP="00550A97">
      <w:r>
        <w:separator/>
      </w:r>
    </w:p>
  </w:footnote>
  <w:footnote w:type="continuationSeparator" w:id="0">
    <w:p w:rsidR="003345F3" w:rsidRDefault="003345F3" w:rsidP="0055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CE0" w:rsidRPr="004D0CE0" w:rsidRDefault="004D0CE0" w:rsidP="004D0CE0">
    <w:pPr>
      <w:pStyle w:val="Header"/>
      <w:jc w:val="right"/>
      <w:rPr>
        <w:rFonts w:ascii="Arial" w:hAnsi="Arial" w:cs="Arial"/>
      </w:rPr>
    </w:pPr>
    <w:r w:rsidRPr="004D0CE0">
      <w:rPr>
        <w:rFonts w:ascii="Arial" w:hAnsi="Arial" w:cs="Arial"/>
      </w:rPr>
      <w:t>SEN11-P</w:t>
    </w:r>
    <w:r w:rsidR="00193097">
      <w:rPr>
        <w:rFonts w:ascii="Arial" w:hAnsi="Arial" w:cs="Arial"/>
      </w:rPr>
      <w:t>21</w:t>
    </w:r>
  </w:p>
  <w:p w:rsidR="004D0CE0" w:rsidRPr="004D0CE0" w:rsidRDefault="004D0CE0" w:rsidP="004D0CE0">
    <w:pPr>
      <w:pStyle w:val="Header"/>
      <w:jc w:val="right"/>
      <w:rPr>
        <w:rFonts w:ascii="Arial" w:hAnsi="Arial" w:cs="Arial"/>
      </w:rPr>
    </w:pPr>
    <w:r w:rsidRPr="004D0CE0">
      <w:rPr>
        <w:rFonts w:ascii="Arial" w:hAnsi="Arial" w:cs="Arial"/>
      </w:rPr>
      <w:t>9 March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67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380"/>
    <w:rsid w:val="00005A1C"/>
    <w:rsid w:val="000358E7"/>
    <w:rsid w:val="00036765"/>
    <w:rsid w:val="00044071"/>
    <w:rsid w:val="0005255D"/>
    <w:rsid w:val="00052C8A"/>
    <w:rsid w:val="00064986"/>
    <w:rsid w:val="00065BA2"/>
    <w:rsid w:val="00091F80"/>
    <w:rsid w:val="000B1B6B"/>
    <w:rsid w:val="000B45F2"/>
    <w:rsid w:val="000B4B97"/>
    <w:rsid w:val="000C4425"/>
    <w:rsid w:val="000C57AF"/>
    <w:rsid w:val="000C6B72"/>
    <w:rsid w:val="000C7B92"/>
    <w:rsid w:val="000E7B62"/>
    <w:rsid w:val="000F1048"/>
    <w:rsid w:val="000F6343"/>
    <w:rsid w:val="000F649D"/>
    <w:rsid w:val="00152154"/>
    <w:rsid w:val="001533E9"/>
    <w:rsid w:val="00160D7C"/>
    <w:rsid w:val="00175A1D"/>
    <w:rsid w:val="00193097"/>
    <w:rsid w:val="001A0009"/>
    <w:rsid w:val="001A2E63"/>
    <w:rsid w:val="001A4A1D"/>
    <w:rsid w:val="001B00E8"/>
    <w:rsid w:val="001B264D"/>
    <w:rsid w:val="001C19D7"/>
    <w:rsid w:val="001C607E"/>
    <w:rsid w:val="001E15F9"/>
    <w:rsid w:val="001E6812"/>
    <w:rsid w:val="001E69BB"/>
    <w:rsid w:val="00200DC6"/>
    <w:rsid w:val="002044BC"/>
    <w:rsid w:val="00207A3F"/>
    <w:rsid w:val="00207E24"/>
    <w:rsid w:val="0021254F"/>
    <w:rsid w:val="002320A5"/>
    <w:rsid w:val="00247DEE"/>
    <w:rsid w:val="00255380"/>
    <w:rsid w:val="0028234A"/>
    <w:rsid w:val="002969B3"/>
    <w:rsid w:val="002A6792"/>
    <w:rsid w:val="002B0793"/>
    <w:rsid w:val="002B21C2"/>
    <w:rsid w:val="002D35D6"/>
    <w:rsid w:val="002D45D3"/>
    <w:rsid w:val="002E08C1"/>
    <w:rsid w:val="003043E2"/>
    <w:rsid w:val="0031235E"/>
    <w:rsid w:val="003147B0"/>
    <w:rsid w:val="00326622"/>
    <w:rsid w:val="003345F3"/>
    <w:rsid w:val="00350D37"/>
    <w:rsid w:val="00385A7A"/>
    <w:rsid w:val="00396DD0"/>
    <w:rsid w:val="003A0FA4"/>
    <w:rsid w:val="003A3220"/>
    <w:rsid w:val="003B565E"/>
    <w:rsid w:val="003D1F07"/>
    <w:rsid w:val="00401785"/>
    <w:rsid w:val="00403A70"/>
    <w:rsid w:val="00434F0D"/>
    <w:rsid w:val="00447923"/>
    <w:rsid w:val="00491259"/>
    <w:rsid w:val="004B2595"/>
    <w:rsid w:val="004B57B9"/>
    <w:rsid w:val="004B5AAC"/>
    <w:rsid w:val="004B616C"/>
    <w:rsid w:val="004C42EF"/>
    <w:rsid w:val="004D0CE0"/>
    <w:rsid w:val="004D2D27"/>
    <w:rsid w:val="004E3E5F"/>
    <w:rsid w:val="004E7EAE"/>
    <w:rsid w:val="004F4EE2"/>
    <w:rsid w:val="005035C5"/>
    <w:rsid w:val="005136AF"/>
    <w:rsid w:val="00515EDE"/>
    <w:rsid w:val="00516641"/>
    <w:rsid w:val="00517E17"/>
    <w:rsid w:val="0052232E"/>
    <w:rsid w:val="0053111C"/>
    <w:rsid w:val="00533750"/>
    <w:rsid w:val="00534D77"/>
    <w:rsid w:val="00535268"/>
    <w:rsid w:val="005357D7"/>
    <w:rsid w:val="0053595F"/>
    <w:rsid w:val="005435EF"/>
    <w:rsid w:val="00550A97"/>
    <w:rsid w:val="005611F1"/>
    <w:rsid w:val="00561521"/>
    <w:rsid w:val="005B155E"/>
    <w:rsid w:val="005F35D9"/>
    <w:rsid w:val="005F6F87"/>
    <w:rsid w:val="00612C7F"/>
    <w:rsid w:val="00626F52"/>
    <w:rsid w:val="0064016D"/>
    <w:rsid w:val="00641ADF"/>
    <w:rsid w:val="00650424"/>
    <w:rsid w:val="006523E3"/>
    <w:rsid w:val="00655EBB"/>
    <w:rsid w:val="00660415"/>
    <w:rsid w:val="006708CA"/>
    <w:rsid w:val="0067605A"/>
    <w:rsid w:val="00680A5D"/>
    <w:rsid w:val="00682D9D"/>
    <w:rsid w:val="006855B4"/>
    <w:rsid w:val="00694AB2"/>
    <w:rsid w:val="00695001"/>
    <w:rsid w:val="006A304A"/>
    <w:rsid w:val="006A5990"/>
    <w:rsid w:val="006D719E"/>
    <w:rsid w:val="006E0723"/>
    <w:rsid w:val="006E3B55"/>
    <w:rsid w:val="007018E7"/>
    <w:rsid w:val="00702CB1"/>
    <w:rsid w:val="00703D71"/>
    <w:rsid w:val="00710092"/>
    <w:rsid w:val="00712B4C"/>
    <w:rsid w:val="00720EF5"/>
    <w:rsid w:val="00723FBA"/>
    <w:rsid w:val="00743CA5"/>
    <w:rsid w:val="00750F16"/>
    <w:rsid w:val="00756783"/>
    <w:rsid w:val="0076247F"/>
    <w:rsid w:val="007924FD"/>
    <w:rsid w:val="00793F44"/>
    <w:rsid w:val="007B30A8"/>
    <w:rsid w:val="007D014A"/>
    <w:rsid w:val="007D277A"/>
    <w:rsid w:val="007D7DAD"/>
    <w:rsid w:val="007F198E"/>
    <w:rsid w:val="007F3115"/>
    <w:rsid w:val="008017C5"/>
    <w:rsid w:val="00807AEE"/>
    <w:rsid w:val="00820A1D"/>
    <w:rsid w:val="00826BC9"/>
    <w:rsid w:val="00836770"/>
    <w:rsid w:val="00853104"/>
    <w:rsid w:val="0085630F"/>
    <w:rsid w:val="0086542B"/>
    <w:rsid w:val="008743DA"/>
    <w:rsid w:val="008810A2"/>
    <w:rsid w:val="0089086F"/>
    <w:rsid w:val="00891F9E"/>
    <w:rsid w:val="00893031"/>
    <w:rsid w:val="0089543E"/>
    <w:rsid w:val="00896457"/>
    <w:rsid w:val="008A7515"/>
    <w:rsid w:val="008B6DCB"/>
    <w:rsid w:val="008D46B0"/>
    <w:rsid w:val="008D5578"/>
    <w:rsid w:val="008D6992"/>
    <w:rsid w:val="008D78AC"/>
    <w:rsid w:val="008E7882"/>
    <w:rsid w:val="008F32AD"/>
    <w:rsid w:val="008F4AF7"/>
    <w:rsid w:val="00901925"/>
    <w:rsid w:val="00905994"/>
    <w:rsid w:val="00906C8A"/>
    <w:rsid w:val="00953154"/>
    <w:rsid w:val="0095687E"/>
    <w:rsid w:val="00962A2F"/>
    <w:rsid w:val="00974400"/>
    <w:rsid w:val="00980A51"/>
    <w:rsid w:val="00982332"/>
    <w:rsid w:val="00983FAF"/>
    <w:rsid w:val="00986DBC"/>
    <w:rsid w:val="009B1A24"/>
    <w:rsid w:val="009C2418"/>
    <w:rsid w:val="009C47C5"/>
    <w:rsid w:val="009D2D2D"/>
    <w:rsid w:val="009F3AA1"/>
    <w:rsid w:val="00A014FC"/>
    <w:rsid w:val="00A15795"/>
    <w:rsid w:val="00A44D12"/>
    <w:rsid w:val="00A455C9"/>
    <w:rsid w:val="00A45E1C"/>
    <w:rsid w:val="00A5476C"/>
    <w:rsid w:val="00A74079"/>
    <w:rsid w:val="00A74A1B"/>
    <w:rsid w:val="00A813C2"/>
    <w:rsid w:val="00A81744"/>
    <w:rsid w:val="00AD7F6C"/>
    <w:rsid w:val="00AE7D16"/>
    <w:rsid w:val="00B040A1"/>
    <w:rsid w:val="00B31090"/>
    <w:rsid w:val="00B46AB4"/>
    <w:rsid w:val="00B471F4"/>
    <w:rsid w:val="00B51B92"/>
    <w:rsid w:val="00B603B6"/>
    <w:rsid w:val="00B67DF5"/>
    <w:rsid w:val="00B76847"/>
    <w:rsid w:val="00B814EC"/>
    <w:rsid w:val="00BA2402"/>
    <w:rsid w:val="00BA59A2"/>
    <w:rsid w:val="00BB2FC6"/>
    <w:rsid w:val="00BB43F2"/>
    <w:rsid w:val="00BD1114"/>
    <w:rsid w:val="00BD39B5"/>
    <w:rsid w:val="00C10C1A"/>
    <w:rsid w:val="00C11266"/>
    <w:rsid w:val="00C30E03"/>
    <w:rsid w:val="00C32504"/>
    <w:rsid w:val="00C32D1D"/>
    <w:rsid w:val="00C478A9"/>
    <w:rsid w:val="00C54A29"/>
    <w:rsid w:val="00C86AE8"/>
    <w:rsid w:val="00CA187B"/>
    <w:rsid w:val="00CA38FE"/>
    <w:rsid w:val="00CA6D84"/>
    <w:rsid w:val="00CB0F12"/>
    <w:rsid w:val="00CC16AE"/>
    <w:rsid w:val="00CC64F6"/>
    <w:rsid w:val="00CC7DC7"/>
    <w:rsid w:val="00CD3771"/>
    <w:rsid w:val="00CE1CCC"/>
    <w:rsid w:val="00CE63B1"/>
    <w:rsid w:val="00CF20B5"/>
    <w:rsid w:val="00CF7E1B"/>
    <w:rsid w:val="00D003CF"/>
    <w:rsid w:val="00D15E20"/>
    <w:rsid w:val="00D176CC"/>
    <w:rsid w:val="00D21249"/>
    <w:rsid w:val="00D226B3"/>
    <w:rsid w:val="00D261EC"/>
    <w:rsid w:val="00D26EAD"/>
    <w:rsid w:val="00D679DE"/>
    <w:rsid w:val="00D71E20"/>
    <w:rsid w:val="00D76141"/>
    <w:rsid w:val="00D774D4"/>
    <w:rsid w:val="00D801EC"/>
    <w:rsid w:val="00D812A5"/>
    <w:rsid w:val="00D977A8"/>
    <w:rsid w:val="00DA59A6"/>
    <w:rsid w:val="00DA6A34"/>
    <w:rsid w:val="00DB1881"/>
    <w:rsid w:val="00DC499B"/>
    <w:rsid w:val="00DD0D4E"/>
    <w:rsid w:val="00DD4973"/>
    <w:rsid w:val="00DF65FA"/>
    <w:rsid w:val="00DF78DF"/>
    <w:rsid w:val="00E00907"/>
    <w:rsid w:val="00E13F2C"/>
    <w:rsid w:val="00E21330"/>
    <w:rsid w:val="00E352A1"/>
    <w:rsid w:val="00E76027"/>
    <w:rsid w:val="00E76F0D"/>
    <w:rsid w:val="00E87B6D"/>
    <w:rsid w:val="00EB12A5"/>
    <w:rsid w:val="00EF2B5A"/>
    <w:rsid w:val="00EF49D7"/>
    <w:rsid w:val="00F1479F"/>
    <w:rsid w:val="00F17934"/>
    <w:rsid w:val="00F339E3"/>
    <w:rsid w:val="00F42D3C"/>
    <w:rsid w:val="00F606E5"/>
    <w:rsid w:val="00F62A3A"/>
    <w:rsid w:val="00F804FE"/>
    <w:rsid w:val="00F97F21"/>
    <w:rsid w:val="00FC6A8D"/>
    <w:rsid w:val="00FC6BB6"/>
    <w:rsid w:val="00FE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92"/>
  </w:style>
  <w:style w:type="paragraph" w:styleId="Heading1">
    <w:name w:val="heading 1"/>
    <w:basedOn w:val="Normal"/>
    <w:next w:val="Normal"/>
    <w:link w:val="Heading1Char"/>
    <w:qFormat/>
    <w:rsid w:val="009C47C5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80"/>
    <w:pPr>
      <w:ind w:left="720"/>
      <w:contextualSpacing/>
    </w:pPr>
  </w:style>
  <w:style w:type="paragraph" w:styleId="BodyText">
    <w:name w:val="Body Text"/>
    <w:basedOn w:val="Normal"/>
    <w:link w:val="BodyTextChar"/>
    <w:rsid w:val="008F4AF7"/>
    <w:pPr>
      <w:widowControl w:val="0"/>
      <w:tabs>
        <w:tab w:val="left" w:pos="720"/>
        <w:tab w:val="left" w:pos="5760"/>
        <w:tab w:val="left" w:pos="8910"/>
      </w:tabs>
      <w:spacing w:before="100" w:after="100"/>
    </w:pPr>
    <w:rPr>
      <w:rFonts w:ascii="Arial" w:eastAsia="Times New Roman" w:hAnsi="Arial" w:cs="Arial"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8F4AF7"/>
    <w:rPr>
      <w:rFonts w:ascii="Arial" w:eastAsia="Times New Roman" w:hAnsi="Arial" w:cs="Arial"/>
      <w:snapToGrid w:val="0"/>
      <w:sz w:val="18"/>
      <w:szCs w:val="20"/>
    </w:rPr>
  </w:style>
  <w:style w:type="paragraph" w:customStyle="1" w:styleId="H3">
    <w:name w:val="H3"/>
    <w:basedOn w:val="Normal"/>
    <w:next w:val="Normal"/>
    <w:rsid w:val="008F4AF7"/>
    <w:pPr>
      <w:keepNext/>
      <w:widowControl w:val="0"/>
      <w:spacing w:before="100" w:after="100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3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E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0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A97"/>
  </w:style>
  <w:style w:type="paragraph" w:styleId="Footer">
    <w:name w:val="footer"/>
    <w:basedOn w:val="Normal"/>
    <w:link w:val="FooterChar"/>
    <w:uiPriority w:val="99"/>
    <w:semiHidden/>
    <w:unhideWhenUsed/>
    <w:rsid w:val="00550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A97"/>
  </w:style>
  <w:style w:type="character" w:customStyle="1" w:styleId="Heading1Char">
    <w:name w:val="Heading 1 Char"/>
    <w:basedOn w:val="DefaultParagraphFont"/>
    <w:link w:val="Heading1"/>
    <w:rsid w:val="009C47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D15E20"/>
  </w:style>
  <w:style w:type="paragraph" w:customStyle="1" w:styleId="Heading31">
    <w:name w:val="Heading 31"/>
    <w:aliases w:val="h3,heading 31"/>
    <w:basedOn w:val="Normal"/>
    <w:next w:val="Normal"/>
    <w:rsid w:val="004B57B9"/>
    <w:pPr>
      <w:keepNext/>
      <w:spacing w:after="200" w:line="260" w:lineRule="atLeast"/>
      <w:ind w:left="720" w:right="640" w:hanging="720"/>
    </w:pPr>
    <w:rPr>
      <w:rFonts w:ascii="Times" w:eastAsia="Times New Roman" w:hAnsi="Times" w:cs="Times New Roman"/>
      <w:b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4B57B9"/>
    <w:rPr>
      <w:rFonts w:ascii="Calibri" w:eastAsia="Times New Roman" w:hAnsi="Calibri" w:cs="Times New Roman"/>
      <w:sz w:val="24"/>
      <w:szCs w:val="24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B57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B57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57B9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style-span">
    <w:name w:val="apple-style-span"/>
    <w:basedOn w:val="DefaultParagraphFont"/>
    <w:rsid w:val="00E87B6D"/>
  </w:style>
  <w:style w:type="character" w:styleId="Hyperlink">
    <w:name w:val="Hyperlink"/>
    <w:basedOn w:val="DefaultParagraphFont"/>
    <w:rsid w:val="00A455C9"/>
    <w:rPr>
      <w:color w:val="0000FF"/>
      <w:u w:val="single"/>
    </w:rPr>
  </w:style>
  <w:style w:type="paragraph" w:styleId="NormalWeb">
    <w:name w:val="Normal (Web)"/>
    <w:basedOn w:val="Normal"/>
    <w:uiPriority w:val="99"/>
    <w:rsid w:val="00200DC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paragraph" w:customStyle="1" w:styleId="Default">
    <w:name w:val="Default"/>
    <w:rsid w:val="00200D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00DC6"/>
  </w:style>
  <w:style w:type="character" w:customStyle="1" w:styleId="Heading2Char">
    <w:name w:val="Heading 2 Char"/>
    <w:basedOn w:val="DefaultParagraphFont"/>
    <w:link w:val="Heading2"/>
    <w:uiPriority w:val="9"/>
    <w:semiHidden/>
    <w:rsid w:val="00680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adjhw</dc:creator>
  <cp:keywords/>
  <dc:description/>
  <cp:lastModifiedBy>adcjw2</cp:lastModifiedBy>
  <cp:revision>3</cp:revision>
  <cp:lastPrinted>2011-02-28T18:22:00Z</cp:lastPrinted>
  <dcterms:created xsi:type="dcterms:W3CDTF">2011-03-02T10:26:00Z</dcterms:created>
  <dcterms:modified xsi:type="dcterms:W3CDTF">2011-03-15T14:16:00Z</dcterms:modified>
</cp:coreProperties>
</file>