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1E" w:rsidRDefault="004F0306" w:rsidP="00A975B9">
      <w:pPr>
        <w:spacing w:after="0" w:line="240" w:lineRule="auto"/>
      </w:pPr>
      <w:bookmarkStart w:id="0" w:name="_GoBack"/>
      <w:bookmarkEnd w:id="0"/>
      <w:r>
        <w:t>ANNEX 3</w:t>
      </w:r>
    </w:p>
    <w:p w:rsidR="000E7B57" w:rsidRPr="000E7B57" w:rsidRDefault="000E7B57" w:rsidP="000E7B57">
      <w:pPr>
        <w:spacing w:before="100" w:beforeAutospacing="1" w:after="100" w:afterAutospacing="1" w:line="240" w:lineRule="auto"/>
        <w:outlineLvl w:val="2"/>
        <w:rPr>
          <w:rFonts w:eastAsia="Times New Roman"/>
          <w:b/>
          <w:bCs/>
          <w:color w:val="000000"/>
          <w:sz w:val="32"/>
          <w:szCs w:val="32"/>
        </w:rPr>
      </w:pPr>
      <w:r w:rsidRPr="000E7B57">
        <w:rPr>
          <w:rFonts w:eastAsia="Times New Roman"/>
          <w:b/>
          <w:bCs/>
          <w:color w:val="000000"/>
          <w:sz w:val="32"/>
          <w:szCs w:val="32"/>
        </w:rPr>
        <w:t>Regulation XVIII</w:t>
      </w:r>
    </w:p>
    <w:p w:rsidR="000E7B57" w:rsidRPr="000E7B57" w:rsidRDefault="000E7B57" w:rsidP="000E7B57">
      <w:pPr>
        <w:spacing w:before="100" w:beforeAutospacing="1" w:after="100" w:afterAutospacing="1" w:line="240" w:lineRule="auto"/>
        <w:outlineLvl w:val="3"/>
        <w:rPr>
          <w:rFonts w:eastAsia="Times New Roman"/>
          <w:b/>
          <w:bCs/>
          <w:color w:val="000000"/>
        </w:rPr>
      </w:pPr>
      <w:r w:rsidRPr="000E7B57">
        <w:rPr>
          <w:rFonts w:eastAsia="Times New Roman"/>
          <w:b/>
          <w:bCs/>
          <w:color w:val="000000"/>
        </w:rPr>
        <w:t xml:space="preserve">Academic Misconduct </w:t>
      </w:r>
    </w:p>
    <w:p w:rsidR="000E7B57" w:rsidRPr="000E7B57" w:rsidRDefault="000E7B57" w:rsidP="000E7B57">
      <w:pPr>
        <w:spacing w:before="100" w:beforeAutospacing="1" w:after="100" w:afterAutospacing="1" w:line="240" w:lineRule="auto"/>
        <w:outlineLvl w:val="3"/>
        <w:rPr>
          <w:rFonts w:eastAsia="Times New Roman"/>
          <w:b/>
          <w:bCs/>
          <w:color w:val="000000"/>
        </w:rPr>
      </w:pPr>
      <w:r w:rsidRPr="000E7B57">
        <w:rPr>
          <w:rFonts w:eastAsia="Times New Roman"/>
          <w:b/>
          <w:bCs/>
          <w:color w:val="000000"/>
        </w:rPr>
        <w:t>Scope of Regulation</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w:t>
      </w:r>
      <w:r w:rsidRPr="000E7B57">
        <w:rPr>
          <w:rFonts w:eastAsia="Times New Roman"/>
          <w:color w:val="000000"/>
          <w:sz w:val="20"/>
          <w:szCs w:val="20"/>
        </w:rPr>
        <w:t xml:space="preserve"> This regulation shall apply to all introductory studies, undergraduate and modular postgraduate students. The Academic Registrar may waive any of the requirements of this regulation in the case of individual students. Any such waiver shall be reported to the next meeting of Senate.</w:t>
      </w:r>
    </w:p>
    <w:p w:rsidR="000E7B57" w:rsidRPr="000E7B57" w:rsidRDefault="000E7B57" w:rsidP="000E7B57">
      <w:pPr>
        <w:spacing w:before="100" w:beforeAutospacing="1" w:after="100" w:afterAutospacing="1" w:line="240" w:lineRule="auto"/>
        <w:outlineLvl w:val="3"/>
        <w:rPr>
          <w:rFonts w:eastAsia="Times New Roman"/>
          <w:b/>
          <w:bCs/>
          <w:color w:val="000000"/>
        </w:rPr>
      </w:pPr>
      <w:r w:rsidRPr="000E7B57">
        <w:rPr>
          <w:rFonts w:eastAsia="Times New Roman"/>
          <w:b/>
          <w:bCs/>
          <w:color w:val="000000"/>
        </w:rPr>
        <w:t>Definition of Academic Misconduct</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w:t>
      </w:r>
      <w:r w:rsidRPr="000E7B57">
        <w:rPr>
          <w:rFonts w:eastAsia="Times New Roman"/>
          <w:color w:val="000000"/>
          <w:sz w:val="20"/>
          <w:szCs w:val="20"/>
        </w:rPr>
        <w:t xml:space="preserve"> It is academic misconduct for any candidate in the course of any assessment to engage in one or more of the following activities:</w:t>
      </w:r>
    </w:p>
    <w:p w:rsidR="000E7B57" w:rsidRPr="000E7B57" w:rsidRDefault="000E7B57" w:rsidP="000E7B57">
      <w:pPr>
        <w:numPr>
          <w:ilvl w:val="0"/>
          <w:numId w:val="12"/>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Failing to comply with the Rules for the Conduct of Written Examinations (set out in Senate Regulation VII), for example by taking prohibited materials into an Examination Hall. </w:t>
      </w:r>
    </w:p>
    <w:p w:rsidR="000E7B57" w:rsidRPr="000E7B57" w:rsidRDefault="000E7B57" w:rsidP="000E7B57">
      <w:pPr>
        <w:numPr>
          <w:ilvl w:val="0"/>
          <w:numId w:val="12"/>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Assisting another candidate to gain an advantage by unfair means, or receiving such assistance, for example by impersonation or the passing off of one individual's work as another's.  This includes undeclared failure to contribute to group coursework assignments. </w:t>
      </w:r>
    </w:p>
    <w:p w:rsidR="000E7B57" w:rsidRPr="000E7B57" w:rsidRDefault="000E7B57" w:rsidP="000E7B57">
      <w:pPr>
        <w:numPr>
          <w:ilvl w:val="0"/>
          <w:numId w:val="12"/>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Misleading the examiners by the fabrication or falsification of data. </w:t>
      </w:r>
    </w:p>
    <w:p w:rsidR="000E7B57" w:rsidRPr="000E7B57" w:rsidRDefault="000E7B57" w:rsidP="000E7B57">
      <w:pPr>
        <w:numPr>
          <w:ilvl w:val="0"/>
          <w:numId w:val="12"/>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Plagiarism; namely submitting work as the candidate's own of which the candidate is not the author.  This includes failure to acknowledge clearly and explicitly the ideas, words or work of another person whether these are published or unpublished. </w:t>
      </w:r>
    </w:p>
    <w:p w:rsidR="000E7B57" w:rsidRPr="000E7B57" w:rsidRDefault="000E7B57" w:rsidP="000E7B57">
      <w:pPr>
        <w:numPr>
          <w:ilvl w:val="0"/>
          <w:numId w:val="12"/>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Engaging in any other activity likely to give an unfair advantage to any candidate. </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3.</w:t>
      </w:r>
      <w:r w:rsidRPr="000E7B57">
        <w:rPr>
          <w:rFonts w:eastAsia="Times New Roman"/>
          <w:color w:val="000000"/>
          <w:sz w:val="20"/>
          <w:szCs w:val="20"/>
        </w:rPr>
        <w:t xml:space="preserve"> A candidate shall certify, when submitting work for assessment, the extent to which the work is his/her own if required to do so by the department responsible for the module.</w:t>
      </w:r>
    </w:p>
    <w:p w:rsidR="000E7B57" w:rsidRPr="000E7B57" w:rsidRDefault="000E7B57" w:rsidP="00612193">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4.</w:t>
      </w:r>
      <w:r w:rsidRPr="000E7B57">
        <w:rPr>
          <w:rFonts w:eastAsia="Times New Roman"/>
          <w:color w:val="000000"/>
          <w:sz w:val="20"/>
          <w:szCs w:val="20"/>
        </w:rPr>
        <w:t xml:space="preserve"> An offence of academic misconduct will be defined as Minor or Major depending on its seriousness</w:t>
      </w:r>
      <w:ins w:id="1" w:author="Staff/Research Student" w:date="2012-11-16T15:34:00Z">
        <w:r w:rsidR="00235978">
          <w:rPr>
            <w:rFonts w:eastAsia="Times New Roman"/>
            <w:color w:val="000000"/>
            <w:sz w:val="20"/>
            <w:szCs w:val="20"/>
          </w:rPr>
          <w:t>,</w:t>
        </w:r>
      </w:ins>
      <w:ins w:id="2" w:author="Staff/Research Student" w:date="2012-11-16T15:37:00Z">
        <w:r w:rsidR="00235978">
          <w:rPr>
            <w:rFonts w:eastAsia="Times New Roman"/>
            <w:color w:val="000000"/>
            <w:sz w:val="20"/>
            <w:szCs w:val="20"/>
          </w:rPr>
          <w:t xml:space="preserve"> and on the likely impact </w:t>
        </w:r>
      </w:ins>
      <w:ins w:id="3" w:author="Staff/Research Student" w:date="2012-11-16T15:39:00Z">
        <w:r w:rsidR="00235978">
          <w:rPr>
            <w:rFonts w:eastAsia="Times New Roman"/>
            <w:color w:val="000000"/>
            <w:sz w:val="20"/>
            <w:szCs w:val="20"/>
          </w:rPr>
          <w:t xml:space="preserve">of the imposition of a penalty </w:t>
        </w:r>
      </w:ins>
      <w:ins w:id="4" w:author="Staff/Research Student" w:date="2012-11-16T15:38:00Z">
        <w:r w:rsidR="00235978">
          <w:rPr>
            <w:rFonts w:eastAsia="Times New Roman"/>
            <w:color w:val="000000"/>
            <w:sz w:val="20"/>
            <w:szCs w:val="20"/>
          </w:rPr>
          <w:t xml:space="preserve">on the progression of the </w:t>
        </w:r>
      </w:ins>
      <w:ins w:id="5" w:author="Staff/Research Student" w:date="2012-11-19T11:29:00Z">
        <w:r w:rsidR="00612193">
          <w:rPr>
            <w:rFonts w:eastAsia="Times New Roman"/>
            <w:color w:val="000000"/>
            <w:sz w:val="20"/>
            <w:szCs w:val="20"/>
          </w:rPr>
          <w:t>candidate</w:t>
        </w:r>
      </w:ins>
      <w:ins w:id="6" w:author="Staff/Research Student" w:date="2012-11-16T15:46:00Z">
        <w:r w:rsidR="00370634">
          <w:rPr>
            <w:rFonts w:eastAsia="Times New Roman"/>
            <w:color w:val="000000"/>
            <w:sz w:val="20"/>
            <w:szCs w:val="20"/>
          </w:rPr>
          <w:t xml:space="preserve"> (where the im</w:t>
        </w:r>
        <w:r w:rsidR="00BF1D21">
          <w:rPr>
            <w:rFonts w:eastAsia="Times New Roman"/>
            <w:color w:val="000000"/>
            <w:sz w:val="20"/>
            <w:szCs w:val="20"/>
          </w:rPr>
          <w:t xml:space="preserve">position of the normal penalty </w:t>
        </w:r>
      </w:ins>
      <w:ins w:id="7" w:author="Staff/Research Student" w:date="2012-11-30T14:59:00Z">
        <w:r w:rsidR="00BF1D21">
          <w:rPr>
            <w:rFonts w:eastAsia="Times New Roman"/>
            <w:color w:val="000000"/>
            <w:sz w:val="20"/>
            <w:szCs w:val="20"/>
          </w:rPr>
          <w:t>c</w:t>
        </w:r>
      </w:ins>
      <w:ins w:id="8" w:author="Staff/Research Student" w:date="2012-11-16T15:46:00Z">
        <w:r w:rsidR="00370634">
          <w:rPr>
            <w:rFonts w:eastAsia="Times New Roman"/>
            <w:color w:val="000000"/>
            <w:sz w:val="20"/>
            <w:szCs w:val="20"/>
          </w:rPr>
          <w:t>ould result in th</w:t>
        </w:r>
        <w:r w:rsidR="00612193">
          <w:rPr>
            <w:rFonts w:eastAsia="Times New Roman"/>
            <w:color w:val="000000"/>
            <w:sz w:val="20"/>
            <w:szCs w:val="20"/>
          </w:rPr>
          <w:t xml:space="preserve">e termination of the </w:t>
        </w:r>
      </w:ins>
      <w:ins w:id="9" w:author="Staff/Research Student" w:date="2012-11-19T11:29:00Z">
        <w:r w:rsidR="00612193">
          <w:rPr>
            <w:rFonts w:eastAsia="Times New Roman"/>
            <w:color w:val="000000"/>
            <w:sz w:val="20"/>
            <w:szCs w:val="20"/>
          </w:rPr>
          <w:t>candidate</w:t>
        </w:r>
      </w:ins>
      <w:ins w:id="10" w:author="Staff/Research Student" w:date="2012-11-16T15:46:00Z">
        <w:r w:rsidR="00370634">
          <w:rPr>
            <w:rFonts w:eastAsia="Times New Roman"/>
            <w:color w:val="000000"/>
            <w:sz w:val="20"/>
            <w:szCs w:val="20"/>
          </w:rPr>
          <w:t>’s studies, the offence should normally be defined as Major)</w:t>
        </w:r>
      </w:ins>
      <w:r w:rsidRPr="000E7B57">
        <w:rPr>
          <w:rFonts w:eastAsia="Times New Roman"/>
          <w:color w:val="000000"/>
          <w:sz w:val="20"/>
          <w:szCs w:val="20"/>
        </w:rPr>
        <w:t>. Minor Offences shall be considered by:</w:t>
      </w:r>
    </w:p>
    <w:p w:rsidR="000E7B57" w:rsidRPr="000E7B57" w:rsidRDefault="000E7B57" w:rsidP="00EF3198">
      <w:pPr>
        <w:numPr>
          <w:ilvl w:val="0"/>
          <w:numId w:val="13"/>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Head of the Department </w:t>
      </w:r>
      <w:del w:id="11" w:author="Staff/Research Student" w:date="2012-11-16T15:21:00Z">
        <w:r w:rsidRPr="000E7B57" w:rsidDel="00EF3198">
          <w:rPr>
            <w:rFonts w:eastAsia="Times New Roman"/>
            <w:color w:val="000000"/>
            <w:sz w:val="20"/>
            <w:szCs w:val="20"/>
          </w:rPr>
          <w:delText>offering the module</w:delText>
        </w:r>
      </w:del>
      <w:ins w:id="12" w:author="Staff/Research Student" w:date="2012-11-16T15:21:00Z">
        <w:r w:rsidR="00612193">
          <w:rPr>
            <w:rFonts w:eastAsia="Times New Roman"/>
            <w:color w:val="000000"/>
            <w:sz w:val="20"/>
            <w:szCs w:val="20"/>
          </w:rPr>
          <w:t xml:space="preserve">to which the </w:t>
        </w:r>
      </w:ins>
      <w:ins w:id="13" w:author="Staff/Research Student" w:date="2012-11-19T11:29:00Z">
        <w:r w:rsidR="00612193">
          <w:rPr>
            <w:rFonts w:eastAsia="Times New Roman"/>
            <w:color w:val="000000"/>
            <w:sz w:val="20"/>
            <w:szCs w:val="20"/>
          </w:rPr>
          <w:t>candidate</w:t>
        </w:r>
      </w:ins>
      <w:ins w:id="14" w:author="Staff/Research Student" w:date="2012-11-16T15:21:00Z">
        <w:r w:rsidR="00EF3198">
          <w:rPr>
            <w:rFonts w:eastAsia="Times New Roman"/>
            <w:color w:val="000000"/>
            <w:sz w:val="20"/>
            <w:szCs w:val="20"/>
          </w:rPr>
          <w:t xml:space="preserve"> belongs</w:t>
        </w:r>
      </w:ins>
      <w:r w:rsidRPr="000E7B57">
        <w:rPr>
          <w:rFonts w:eastAsia="Times New Roman"/>
          <w:color w:val="000000"/>
          <w:sz w:val="20"/>
          <w:szCs w:val="20"/>
        </w:rPr>
        <w:t xml:space="preserve"> (the relevant Head of Department), or </w:t>
      </w:r>
    </w:p>
    <w:p w:rsidR="000E7B57" w:rsidRPr="000E7B57" w:rsidRDefault="000E7B57" w:rsidP="00EF3198">
      <w:pPr>
        <w:numPr>
          <w:ilvl w:val="0"/>
          <w:numId w:val="13"/>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Associate Dean (Teaching) of the School </w:t>
      </w:r>
      <w:del w:id="15" w:author="Staff/Research Student" w:date="2012-11-16T15:21:00Z">
        <w:r w:rsidRPr="000E7B57" w:rsidDel="00EF3198">
          <w:rPr>
            <w:rFonts w:eastAsia="Times New Roman"/>
            <w:color w:val="000000"/>
            <w:sz w:val="20"/>
            <w:szCs w:val="20"/>
          </w:rPr>
          <w:delText>offering the module</w:delText>
        </w:r>
      </w:del>
      <w:ins w:id="16" w:author="Staff/Research Student" w:date="2012-11-16T15:21:00Z">
        <w:r w:rsidR="00612193">
          <w:rPr>
            <w:rFonts w:eastAsia="Times New Roman"/>
            <w:color w:val="000000"/>
            <w:sz w:val="20"/>
            <w:szCs w:val="20"/>
          </w:rPr>
          <w:t xml:space="preserve">to which the </w:t>
        </w:r>
      </w:ins>
      <w:ins w:id="17" w:author="Staff/Research Student" w:date="2012-11-19T11:29:00Z">
        <w:r w:rsidR="00612193">
          <w:rPr>
            <w:rFonts w:eastAsia="Times New Roman"/>
            <w:color w:val="000000"/>
            <w:sz w:val="20"/>
            <w:szCs w:val="20"/>
          </w:rPr>
          <w:t>candidate</w:t>
        </w:r>
      </w:ins>
      <w:ins w:id="18" w:author="Staff/Research Student" w:date="2012-11-16T15:21:00Z">
        <w:r w:rsidR="00EF3198">
          <w:rPr>
            <w:rFonts w:eastAsia="Times New Roman"/>
            <w:color w:val="000000"/>
            <w:sz w:val="20"/>
            <w:szCs w:val="20"/>
          </w:rPr>
          <w:t xml:space="preserve"> belongs</w:t>
        </w:r>
      </w:ins>
      <w:r w:rsidRPr="000E7B57">
        <w:rPr>
          <w:rFonts w:eastAsia="Times New Roman"/>
          <w:color w:val="000000"/>
          <w:sz w:val="20"/>
          <w:szCs w:val="20"/>
        </w:rPr>
        <w:t xml:space="preserve"> (the relevant Associate Dean (Teaching)). </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Major Offences shall be considered by the Academic Misconduct Committee. Final interpretation of the nature of an offence under the definitions below shall be the responsibility of the Academic Registrar.</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5.</w:t>
      </w:r>
      <w:r w:rsidRPr="000E7B57">
        <w:rPr>
          <w:rFonts w:eastAsia="Times New Roman"/>
          <w:color w:val="000000"/>
          <w:sz w:val="20"/>
          <w:szCs w:val="20"/>
        </w:rPr>
        <w:t xml:space="preserve"> Any decision made in accordance with the regulations on academic misconduct shall not be overturned subsequently by a Programme Board under any circumstances</w:t>
      </w:r>
    </w:p>
    <w:p w:rsidR="000E7B57" w:rsidRPr="000E7B57" w:rsidRDefault="000E7B57" w:rsidP="000E7B57">
      <w:pPr>
        <w:spacing w:before="100" w:beforeAutospacing="1" w:after="100" w:afterAutospacing="1" w:line="240" w:lineRule="auto"/>
        <w:outlineLvl w:val="3"/>
        <w:rPr>
          <w:rFonts w:eastAsia="Times New Roman"/>
          <w:b/>
          <w:bCs/>
          <w:color w:val="000000"/>
        </w:rPr>
      </w:pPr>
      <w:r w:rsidRPr="000E7B57">
        <w:rPr>
          <w:rFonts w:eastAsia="Times New Roman"/>
          <w:b/>
          <w:bCs/>
          <w:color w:val="000000"/>
        </w:rPr>
        <w:t>Minor Offences</w:t>
      </w:r>
    </w:p>
    <w:p w:rsidR="000E7B57" w:rsidRPr="000E7B57" w:rsidRDefault="000E7B57" w:rsidP="000E7B57">
      <w:pPr>
        <w:spacing w:before="100" w:beforeAutospacing="1" w:after="100" w:afterAutospacing="1" w:line="240" w:lineRule="auto"/>
        <w:outlineLvl w:val="4"/>
        <w:rPr>
          <w:rFonts w:eastAsia="Times New Roman"/>
          <w:b/>
          <w:bCs/>
          <w:color w:val="000000"/>
          <w:sz w:val="20"/>
          <w:szCs w:val="20"/>
        </w:rPr>
      </w:pPr>
      <w:r w:rsidRPr="000E7B57">
        <w:rPr>
          <w:rFonts w:eastAsia="Times New Roman"/>
          <w:b/>
          <w:bCs/>
          <w:color w:val="000000"/>
          <w:sz w:val="20"/>
          <w:szCs w:val="20"/>
        </w:rPr>
        <w:t>Definition and Jurisdiction</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6.</w:t>
      </w:r>
      <w:r w:rsidRPr="000E7B57">
        <w:rPr>
          <w:rFonts w:eastAsia="Times New Roman"/>
          <w:color w:val="000000"/>
          <w:sz w:val="20"/>
          <w:szCs w:val="20"/>
        </w:rPr>
        <w:t xml:space="preserve"> An incident shall be deemed to be a Minor Offence of academic misconduct if it relates to work for assessment not undertaken in an Examination Hall, and if the nature of the incident together with the circumstances of the candidate make appropriate a relatively limited penalty. Examples include first </w:t>
      </w:r>
      <w:r w:rsidRPr="000E7B57">
        <w:rPr>
          <w:rFonts w:eastAsia="Times New Roman"/>
          <w:color w:val="000000"/>
          <w:sz w:val="20"/>
          <w:szCs w:val="20"/>
        </w:rPr>
        <w:lastRenderedPageBreak/>
        <w:t>offences of failure to acknowledge sources in a limited amount of coursework, and limited copying of another student’s work. These examples are not intended to be exhaustive.</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7.</w:t>
      </w:r>
      <w:r w:rsidRPr="000E7B57">
        <w:rPr>
          <w:rFonts w:eastAsia="Times New Roman"/>
          <w:color w:val="000000"/>
          <w:sz w:val="20"/>
          <w:szCs w:val="20"/>
        </w:rPr>
        <w:t xml:space="preserve"> A candidate suspected of committing a Minor Offence will automatically be referred for action under the Major Offence procedure if s/he has previously been found guilty of any offence of academic misconduct at any time during his/her studies at Loughborough University, or is suspected of an offence in more than one assessed element of his/her programme.</w:t>
      </w:r>
      <w:ins w:id="19" w:author="Staff/Research Student" w:date="2012-11-16T15:41:00Z">
        <w:r w:rsidR="00235978">
          <w:rPr>
            <w:rFonts w:eastAsia="Times New Roman"/>
            <w:color w:val="000000"/>
            <w:sz w:val="20"/>
            <w:szCs w:val="20"/>
          </w:rPr>
          <w:t xml:space="preserve"> </w:t>
        </w:r>
      </w:ins>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8.</w:t>
      </w:r>
      <w:r w:rsidRPr="000E7B57">
        <w:rPr>
          <w:rFonts w:eastAsia="Times New Roman"/>
          <w:color w:val="000000"/>
          <w:sz w:val="20"/>
          <w:szCs w:val="20"/>
        </w:rPr>
        <w:t xml:space="preserve"> The relevant Head of the Department/Associate Dean (Teaching) is empowered to consider charges of Minor Offences against candidates and to levy penalties as specified in paragraph 14 below.</w:t>
      </w:r>
    </w:p>
    <w:p w:rsidR="000E7B57" w:rsidRPr="000E7B57" w:rsidRDefault="000E7B57" w:rsidP="000E7B57">
      <w:pPr>
        <w:spacing w:before="100" w:beforeAutospacing="1" w:after="100" w:afterAutospacing="1" w:line="240" w:lineRule="auto"/>
        <w:outlineLvl w:val="4"/>
        <w:rPr>
          <w:rFonts w:eastAsia="Times New Roman"/>
          <w:b/>
          <w:bCs/>
          <w:color w:val="000000"/>
          <w:sz w:val="20"/>
          <w:szCs w:val="20"/>
        </w:rPr>
      </w:pPr>
      <w:r w:rsidRPr="000E7B57">
        <w:rPr>
          <w:rFonts w:eastAsia="Times New Roman"/>
          <w:b/>
          <w:bCs/>
          <w:color w:val="000000"/>
          <w:sz w:val="20"/>
          <w:szCs w:val="20"/>
        </w:rPr>
        <w:t>Procedure</w:t>
      </w:r>
    </w:p>
    <w:p w:rsidR="000E7B57" w:rsidRPr="000E7B57" w:rsidRDefault="000E7B57" w:rsidP="00A177FF">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9.</w:t>
      </w:r>
      <w:r w:rsidRPr="000E7B57">
        <w:rPr>
          <w:rFonts w:eastAsia="Times New Roman"/>
          <w:color w:val="000000"/>
          <w:sz w:val="20"/>
          <w:szCs w:val="20"/>
        </w:rPr>
        <w:t xml:space="preserve"> Any circumstances which appear to an examiner to suggest that a candidate has committed any act of academic misconduct shall be reported immediately to the relevant Head of Department/Associate Dean (Teaching)</w:t>
      </w:r>
      <w:ins w:id="20" w:author="Staff/Research Student" w:date="2012-11-19T10:35:00Z">
        <w:r w:rsidR="006035FE">
          <w:rPr>
            <w:rFonts w:eastAsia="Times New Roman"/>
            <w:color w:val="000000"/>
            <w:sz w:val="20"/>
            <w:szCs w:val="20"/>
          </w:rPr>
          <w:t>, who may initiate an initi</w:t>
        </w:r>
        <w:r w:rsidR="00F07CC0">
          <w:rPr>
            <w:rFonts w:eastAsia="Times New Roman"/>
            <w:color w:val="000000"/>
            <w:sz w:val="20"/>
            <w:szCs w:val="20"/>
          </w:rPr>
          <w:t>al investigation</w:t>
        </w:r>
      </w:ins>
      <w:del w:id="21" w:author="Staff/Research Student" w:date="2012-11-19T10:35:00Z">
        <w:r w:rsidRPr="000E7B57" w:rsidDel="006035FE">
          <w:rPr>
            <w:rFonts w:eastAsia="Times New Roman"/>
            <w:color w:val="000000"/>
            <w:sz w:val="20"/>
            <w:szCs w:val="20"/>
          </w:rPr>
          <w:delText>.</w:delText>
        </w:r>
      </w:del>
      <w:ins w:id="22" w:author="Staff/Research Student" w:date="2012-11-19T10:41:00Z">
        <w:r w:rsidR="006035FE">
          <w:rPr>
            <w:rFonts w:eastAsia="Times New Roman"/>
            <w:color w:val="000000"/>
            <w:sz w:val="20"/>
            <w:szCs w:val="20"/>
          </w:rPr>
          <w:t xml:space="preserve"> </w:t>
        </w:r>
      </w:ins>
      <w:ins w:id="23" w:author="Staff/Research Student" w:date="2012-11-19T11:29:00Z">
        <w:r w:rsidR="00612193">
          <w:rPr>
            <w:rFonts w:eastAsia="Times New Roman"/>
            <w:color w:val="000000"/>
            <w:sz w:val="20"/>
            <w:szCs w:val="20"/>
          </w:rPr>
          <w:t>Candidates</w:t>
        </w:r>
      </w:ins>
      <w:ins w:id="24" w:author="Staff/Research Student" w:date="2012-11-19T10:43:00Z">
        <w:r w:rsidR="006035FE">
          <w:rPr>
            <w:rFonts w:eastAsia="Times New Roman"/>
            <w:color w:val="000000"/>
            <w:sz w:val="20"/>
            <w:szCs w:val="20"/>
          </w:rPr>
          <w:t xml:space="preserve"> suspected of committing academic misconduct may be required to attend an interview with the relevant Head of Department</w:t>
        </w:r>
      </w:ins>
      <w:ins w:id="25" w:author="Staff/Research Student" w:date="2012-11-30T13:46:00Z">
        <w:r w:rsidR="00394BA2">
          <w:rPr>
            <w:rFonts w:eastAsia="Times New Roman"/>
            <w:color w:val="000000"/>
            <w:sz w:val="20"/>
            <w:szCs w:val="20"/>
          </w:rPr>
          <w:t>/AD(T)</w:t>
        </w:r>
      </w:ins>
      <w:ins w:id="26" w:author="Staff/Research Student" w:date="2012-11-30T14:03:00Z">
        <w:r w:rsidR="00990BB4">
          <w:rPr>
            <w:rFonts w:eastAsia="Times New Roman"/>
            <w:color w:val="000000"/>
            <w:sz w:val="20"/>
            <w:szCs w:val="20"/>
          </w:rPr>
          <w:t>, or nominee,</w:t>
        </w:r>
      </w:ins>
      <w:ins w:id="27" w:author="Staff/Research Student" w:date="2012-11-19T10:43:00Z">
        <w:r w:rsidR="006035FE">
          <w:rPr>
            <w:rFonts w:eastAsia="Times New Roman"/>
            <w:color w:val="000000"/>
            <w:sz w:val="20"/>
            <w:szCs w:val="20"/>
          </w:rPr>
          <w:t xml:space="preserve"> as part of this process.</w:t>
        </w:r>
      </w:ins>
      <w:ins w:id="28" w:author="Staff/Research Student" w:date="2012-11-19T10:45:00Z">
        <w:r w:rsidR="006035FE">
          <w:rPr>
            <w:rFonts w:eastAsia="Times New Roman"/>
            <w:color w:val="000000"/>
            <w:sz w:val="20"/>
            <w:szCs w:val="20"/>
          </w:rPr>
          <w:t xml:space="preserve"> If such an interview is held, </w:t>
        </w:r>
      </w:ins>
      <w:ins w:id="29" w:author="Staff/Research Student" w:date="2012-11-19T11:28:00Z">
        <w:r w:rsidR="00612193">
          <w:rPr>
            <w:rFonts w:eastAsia="Times New Roman"/>
            <w:color w:val="000000"/>
            <w:sz w:val="20"/>
            <w:szCs w:val="20"/>
          </w:rPr>
          <w:t xml:space="preserve">the </w:t>
        </w:r>
      </w:ins>
      <w:ins w:id="30" w:author="Staff/Research Student" w:date="2012-11-19T11:29:00Z">
        <w:r w:rsidR="00612193">
          <w:rPr>
            <w:rFonts w:eastAsia="Times New Roman"/>
            <w:color w:val="000000"/>
            <w:sz w:val="20"/>
            <w:szCs w:val="20"/>
          </w:rPr>
          <w:t>candidate</w:t>
        </w:r>
      </w:ins>
      <w:ins w:id="31" w:author="Staff/Research Student" w:date="2012-11-19T10:47:00Z">
        <w:r w:rsidR="00F07CC0">
          <w:rPr>
            <w:rFonts w:eastAsia="Times New Roman"/>
            <w:color w:val="000000"/>
            <w:sz w:val="20"/>
            <w:szCs w:val="20"/>
          </w:rPr>
          <w:t xml:space="preserve"> must be </w:t>
        </w:r>
      </w:ins>
      <w:ins w:id="32" w:author="Staff/Research Student" w:date="2012-11-19T10:48:00Z">
        <w:r w:rsidR="00F07CC0">
          <w:rPr>
            <w:rFonts w:eastAsia="Times New Roman"/>
            <w:color w:val="000000"/>
            <w:sz w:val="20"/>
            <w:szCs w:val="20"/>
          </w:rPr>
          <w:t xml:space="preserve">provided with reasonable notice, and </w:t>
        </w:r>
      </w:ins>
      <w:ins w:id="33" w:author="Staff/Research Student" w:date="2012-11-19T11:19:00Z">
        <w:r w:rsidR="00612193">
          <w:rPr>
            <w:rFonts w:eastAsia="Times New Roman"/>
            <w:color w:val="000000"/>
            <w:sz w:val="20"/>
            <w:szCs w:val="20"/>
          </w:rPr>
          <w:t xml:space="preserve">permitted to </w:t>
        </w:r>
      </w:ins>
      <w:ins w:id="34" w:author="Staff/Research Student" w:date="2012-11-19T12:24:00Z">
        <w:r w:rsidR="00A177FF">
          <w:rPr>
            <w:rFonts w:eastAsia="Times New Roman"/>
            <w:color w:val="000000"/>
            <w:sz w:val="20"/>
            <w:szCs w:val="20"/>
          </w:rPr>
          <w:t>be accompanied by an</w:t>
        </w:r>
      </w:ins>
      <w:ins w:id="35" w:author="Staff/Research Student" w:date="2012-11-19T11:19:00Z">
        <w:r w:rsidR="00612193">
          <w:rPr>
            <w:rFonts w:eastAsia="Times New Roman"/>
            <w:color w:val="000000"/>
            <w:sz w:val="20"/>
            <w:szCs w:val="20"/>
          </w:rPr>
          <w:t xml:space="preserve"> individual of their choosing.</w:t>
        </w:r>
      </w:ins>
    </w:p>
    <w:p w:rsidR="000E7B57" w:rsidRPr="000E7B57" w:rsidRDefault="000E7B57" w:rsidP="002F3925">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10.</w:t>
      </w:r>
      <w:r w:rsidRPr="000E7B57">
        <w:rPr>
          <w:rFonts w:eastAsia="Times New Roman"/>
          <w:color w:val="000000"/>
          <w:sz w:val="20"/>
          <w:szCs w:val="20"/>
        </w:rPr>
        <w:t xml:space="preserve"> </w:t>
      </w:r>
      <w:ins w:id="36" w:author="Staff/Research Student" w:date="2012-11-19T11:32:00Z">
        <w:r w:rsidR="00E405A8">
          <w:rPr>
            <w:rFonts w:eastAsia="Times New Roman"/>
            <w:color w:val="000000"/>
            <w:sz w:val="20"/>
            <w:szCs w:val="20"/>
          </w:rPr>
          <w:t xml:space="preserve">After any initial investigation has been conducted, </w:t>
        </w:r>
      </w:ins>
      <w:del w:id="37" w:author="Staff/Research Student" w:date="2012-11-19T11:32:00Z">
        <w:r w:rsidRPr="000E7B57" w:rsidDel="00E405A8">
          <w:rPr>
            <w:rFonts w:eastAsia="Times New Roman"/>
            <w:color w:val="000000"/>
            <w:sz w:val="20"/>
            <w:szCs w:val="20"/>
          </w:rPr>
          <w:delText>T</w:delText>
        </w:r>
      </w:del>
      <w:ins w:id="38" w:author="Staff/Research Student" w:date="2012-11-19T11:32:00Z">
        <w:r w:rsidR="00E405A8">
          <w:rPr>
            <w:rFonts w:eastAsia="Times New Roman"/>
            <w:color w:val="000000"/>
            <w:sz w:val="20"/>
            <w:szCs w:val="20"/>
          </w:rPr>
          <w:t>t</w:t>
        </w:r>
      </w:ins>
      <w:r w:rsidRPr="000E7B57">
        <w:rPr>
          <w:rFonts w:eastAsia="Times New Roman"/>
          <w:color w:val="000000"/>
          <w:sz w:val="20"/>
          <w:szCs w:val="20"/>
        </w:rPr>
        <w:t xml:space="preserve">he relevant Head of Department/Associate Dean (Teaching) shall decide whether </w:t>
      </w:r>
      <w:ins w:id="39" w:author="Staff/Research Student" w:date="2012-11-19T12:07:00Z">
        <w:r w:rsidR="008B5D10">
          <w:rPr>
            <w:rFonts w:eastAsia="Times New Roman"/>
            <w:color w:val="000000"/>
            <w:sz w:val="20"/>
            <w:szCs w:val="20"/>
          </w:rPr>
          <w:t xml:space="preserve">the candidate should be charged </w:t>
        </w:r>
      </w:ins>
      <w:ins w:id="40" w:author="Staff/Research Student" w:date="2012-11-19T12:11:00Z">
        <w:r w:rsidR="008B5D10">
          <w:rPr>
            <w:rFonts w:eastAsia="Times New Roman"/>
            <w:color w:val="000000"/>
            <w:sz w:val="20"/>
            <w:szCs w:val="20"/>
          </w:rPr>
          <w:t>with academic misconduct</w:t>
        </w:r>
      </w:ins>
      <w:ins w:id="41" w:author="Staff/Research Student" w:date="2012-11-19T12:14:00Z">
        <w:r w:rsidR="008B5D10">
          <w:rPr>
            <w:rFonts w:eastAsia="Times New Roman"/>
            <w:color w:val="000000"/>
            <w:sz w:val="20"/>
            <w:szCs w:val="20"/>
          </w:rPr>
          <w:t>, t</w:t>
        </w:r>
      </w:ins>
      <w:ins w:id="42" w:author="Staff/Research Student" w:date="2012-11-19T12:12:00Z">
        <w:r w:rsidR="008B5D10" w:rsidRPr="008B5D10">
          <w:rPr>
            <w:rFonts w:eastAsia="Times New Roman"/>
            <w:color w:val="000000"/>
            <w:sz w:val="20"/>
            <w:szCs w:val="20"/>
          </w:rPr>
          <w:t xml:space="preserve">aking into account the extent to which the circumstances </w:t>
        </w:r>
        <w:r w:rsidR="008B5D10">
          <w:rPr>
            <w:rFonts w:eastAsia="Times New Roman"/>
            <w:color w:val="000000"/>
            <w:sz w:val="20"/>
            <w:szCs w:val="20"/>
          </w:rPr>
          <w:t xml:space="preserve">indicate that the </w:t>
        </w:r>
      </w:ins>
      <w:ins w:id="43" w:author="Staff/Research Student" w:date="2012-11-19T12:16:00Z">
        <w:r w:rsidR="008B5D10">
          <w:rPr>
            <w:rFonts w:eastAsia="Times New Roman"/>
            <w:color w:val="000000"/>
            <w:sz w:val="20"/>
            <w:szCs w:val="20"/>
          </w:rPr>
          <w:t>candidate</w:t>
        </w:r>
      </w:ins>
      <w:ins w:id="44" w:author="Staff/Research Student" w:date="2012-11-19T12:12:00Z">
        <w:r w:rsidR="008B5D10" w:rsidRPr="008B5D10">
          <w:rPr>
            <w:rFonts w:eastAsia="Times New Roman"/>
            <w:color w:val="000000"/>
            <w:sz w:val="20"/>
            <w:szCs w:val="20"/>
          </w:rPr>
          <w:t xml:space="preserve"> intende</w:t>
        </w:r>
        <w:r w:rsidR="002F3925">
          <w:rPr>
            <w:rFonts w:eastAsia="Times New Roman"/>
            <w:color w:val="000000"/>
            <w:sz w:val="20"/>
            <w:szCs w:val="20"/>
          </w:rPr>
          <w:t>d to obtain an unfair advantage</w:t>
        </w:r>
      </w:ins>
      <w:ins w:id="45" w:author="Staff/Research Student" w:date="2012-11-19T12:19:00Z">
        <w:r w:rsidR="002F3925">
          <w:rPr>
            <w:rFonts w:eastAsia="Times New Roman"/>
            <w:color w:val="000000"/>
            <w:sz w:val="20"/>
            <w:szCs w:val="20"/>
          </w:rPr>
          <w:t xml:space="preserve">, </w:t>
        </w:r>
      </w:ins>
      <w:del w:id="46" w:author="Staff/Research Student" w:date="2012-11-19T12:20:00Z">
        <w:r w:rsidRPr="000E7B57" w:rsidDel="002F3925">
          <w:rPr>
            <w:rFonts w:eastAsia="Times New Roman"/>
            <w:color w:val="000000"/>
            <w:sz w:val="20"/>
            <w:szCs w:val="20"/>
          </w:rPr>
          <w:delText xml:space="preserve">any action shall be taken </w:delText>
        </w:r>
      </w:del>
      <w:r w:rsidRPr="000E7B57">
        <w:rPr>
          <w:rFonts w:eastAsia="Times New Roman"/>
          <w:color w:val="000000"/>
          <w:sz w:val="20"/>
          <w:szCs w:val="20"/>
        </w:rPr>
        <w:t>and if so whether that should be under the procedures for Minor Offences.</w:t>
      </w:r>
      <w:r w:rsidR="002F3925">
        <w:rPr>
          <w:rFonts w:eastAsia="Times New Roman"/>
          <w:color w:val="000000"/>
          <w:sz w:val="20"/>
          <w:szCs w:val="20"/>
        </w:rPr>
        <w:t xml:space="preserve"> </w:t>
      </w:r>
      <w:r w:rsidRPr="000E7B57">
        <w:rPr>
          <w:rFonts w:eastAsia="Times New Roman"/>
          <w:color w:val="000000"/>
          <w:sz w:val="20"/>
          <w:szCs w:val="20"/>
        </w:rPr>
        <w:t>If the relevant Head of Department/Associate Dean (Teaching) considers the incident to constitute a Major Offence, s/he shall consult the Academic Registrar.</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11.</w:t>
      </w:r>
      <w:r w:rsidRPr="000E7B57">
        <w:rPr>
          <w:rFonts w:eastAsia="Times New Roman"/>
          <w:color w:val="000000"/>
          <w:sz w:val="20"/>
          <w:szCs w:val="20"/>
        </w:rPr>
        <w:t xml:space="preserve"> The Academic Registrar shall either refer the case for action under the Major Offences procedure set out in paragraphs 17 to 32 below or advise the relevant Head of Department/Associate Dean (Teaching) to consider the case under the Minor Offences procedure.</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12.</w:t>
      </w:r>
      <w:r w:rsidRPr="000E7B57">
        <w:rPr>
          <w:rFonts w:eastAsia="Times New Roman"/>
          <w:color w:val="000000"/>
          <w:sz w:val="20"/>
          <w:szCs w:val="20"/>
        </w:rPr>
        <w:t xml:space="preserve"> Candidates shall be notified in writing of alleged Minor Offences and the evidence against them by the relevant Head of Department/Associate Dean (Teaching). Candidates shall be invited to admit or deny the allegation and be permitted to defend themselves in writing and in person, accompanied by an individual of their own choosing. Any written defence or request to be heard in person, including the name and status of any accompanying individual, must be received by the relevant Head of Department/Associate Dean (Teaching) within five working days of the notification of the alleged misconduct.</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13.</w:t>
      </w:r>
      <w:r w:rsidRPr="000E7B57">
        <w:rPr>
          <w:rFonts w:eastAsia="Times New Roman"/>
          <w:color w:val="000000"/>
          <w:sz w:val="20"/>
          <w:szCs w:val="20"/>
        </w:rPr>
        <w:t xml:space="preserve"> Having taken into account the evidence and the defence, if any, the relevant Head of Department/Associate Dean (Teaching) shall decide whether the candidate is guilty of the offence, and if so, the appropriate penalty under paragraph 14 below. In determining the penalty, the relevant Head of Department/Associate Dean (Teaching) shall also take into account the extent to which the circumstances suggest the candidate intended to obtain an unfair advantage for him/herself or another. The candidate shall be notified in writing of the relevant Head of Department’s/Associate Dean (Teaching)’s decision and of the penalty, if one is to be applied, within fifteen working days of the candidate being notified of the allegation. S/he shall also be notified of the right of appeal under paragraph 15 below.</w:t>
      </w:r>
    </w:p>
    <w:p w:rsidR="000E7B57" w:rsidRPr="000E7B57" w:rsidRDefault="000E7B57" w:rsidP="000E7B57">
      <w:pPr>
        <w:spacing w:before="100" w:beforeAutospacing="1" w:after="100" w:afterAutospacing="1" w:line="240" w:lineRule="auto"/>
        <w:outlineLvl w:val="4"/>
        <w:rPr>
          <w:rFonts w:eastAsia="Times New Roman"/>
          <w:b/>
          <w:bCs/>
          <w:color w:val="000000"/>
          <w:sz w:val="20"/>
          <w:szCs w:val="20"/>
        </w:rPr>
      </w:pPr>
      <w:r w:rsidRPr="000E7B57">
        <w:rPr>
          <w:rFonts w:eastAsia="Times New Roman"/>
          <w:b/>
          <w:bCs/>
          <w:color w:val="000000"/>
          <w:sz w:val="20"/>
          <w:szCs w:val="20"/>
        </w:rPr>
        <w:t>Penalties</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14.</w:t>
      </w:r>
      <w:r w:rsidRPr="000E7B57">
        <w:rPr>
          <w:rFonts w:eastAsia="Times New Roman"/>
          <w:color w:val="000000"/>
          <w:sz w:val="20"/>
          <w:szCs w:val="20"/>
        </w:rPr>
        <w:t xml:space="preserve"> Where a candidate is found guilty of a Minor Offence, the relevant Head of Department/Associate Dean (Teaching) shall be empowered to impose one or more of the following penalties:</w:t>
      </w:r>
    </w:p>
    <w:p w:rsidR="000E7B57" w:rsidRPr="000E7B57" w:rsidRDefault="000E7B57" w:rsidP="000E7B57">
      <w:pPr>
        <w:numPr>
          <w:ilvl w:val="0"/>
          <w:numId w:val="14"/>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issue of a formal reprimand. </w:t>
      </w:r>
    </w:p>
    <w:p w:rsidR="000E7B57" w:rsidRPr="000E7B57" w:rsidRDefault="000E7B57" w:rsidP="000E7B57">
      <w:pPr>
        <w:numPr>
          <w:ilvl w:val="0"/>
          <w:numId w:val="14"/>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lastRenderedPageBreak/>
        <w:t xml:space="preserve">The reduction by any amount of any or all of the marks obtained by the candidate in the module concerned. </w:t>
      </w:r>
    </w:p>
    <w:p w:rsidR="000E7B57" w:rsidRPr="000E7B57" w:rsidRDefault="000E7B57" w:rsidP="000E7B57">
      <w:pPr>
        <w:spacing w:before="100" w:beforeAutospacing="1" w:after="100" w:afterAutospacing="1" w:line="240" w:lineRule="auto"/>
        <w:outlineLvl w:val="4"/>
        <w:rPr>
          <w:rFonts w:eastAsia="Times New Roman"/>
          <w:b/>
          <w:bCs/>
          <w:color w:val="000000"/>
          <w:sz w:val="20"/>
          <w:szCs w:val="20"/>
        </w:rPr>
      </w:pPr>
      <w:r w:rsidRPr="000E7B57">
        <w:rPr>
          <w:rFonts w:eastAsia="Times New Roman"/>
          <w:b/>
          <w:bCs/>
          <w:color w:val="000000"/>
          <w:sz w:val="20"/>
          <w:szCs w:val="20"/>
        </w:rPr>
        <w:t>Appeals</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15.</w:t>
      </w:r>
      <w:r w:rsidRPr="000E7B57">
        <w:rPr>
          <w:rFonts w:eastAsia="Times New Roman"/>
          <w:color w:val="000000"/>
          <w:sz w:val="20"/>
          <w:szCs w:val="20"/>
        </w:rPr>
        <w:t xml:space="preserve"> Candidates found guilty of Minor Offences shall have the right of appeal against the decision of the relevant Head of Department/Associate Dean (Teaching). Appeals should be submitted in writing to the Secretary of the Academic Misconduct Appeals Committee (see paragraph 30 below) within 10 working days of the candidate receiving notification of the decision of the relevant Head of Department/Associate Dean (Teaching), and should set out the grounds for, and nature of the appeal together with any evidence. Possible grounds for appeal include:</w:t>
      </w:r>
    </w:p>
    <w:p w:rsidR="000E7B57" w:rsidRPr="000E7B57" w:rsidRDefault="000E7B57" w:rsidP="000E7B57">
      <w:pPr>
        <w:numPr>
          <w:ilvl w:val="0"/>
          <w:numId w:val="15"/>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that there were serious circumstances affecting the candidate of which the relevant Head of Department/Associate Dean (Teaching) was not made aware when the decision was taken. </w:t>
      </w:r>
    </w:p>
    <w:p w:rsidR="000E7B57" w:rsidRPr="000E7B57" w:rsidRDefault="000E7B57" w:rsidP="000E7B57">
      <w:pPr>
        <w:numPr>
          <w:ilvl w:val="0"/>
          <w:numId w:val="15"/>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that there were procedural irregularities in the conduct of the investigation. </w:t>
      </w:r>
    </w:p>
    <w:p w:rsidR="000E7B57" w:rsidRPr="000E7B57" w:rsidRDefault="000E7B57" w:rsidP="000E7B57">
      <w:pPr>
        <w:numPr>
          <w:ilvl w:val="0"/>
          <w:numId w:val="15"/>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that there is evidence of prejudice or bias against the candidate on the part of one or more of those involved in the case. </w:t>
      </w:r>
    </w:p>
    <w:p w:rsidR="000E7B57" w:rsidRPr="000E7B57" w:rsidRDefault="000E7B57" w:rsidP="000E7B57">
      <w:pPr>
        <w:numPr>
          <w:ilvl w:val="0"/>
          <w:numId w:val="15"/>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that the penalty imposed was disproportionate to the offence. </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The Secretary of the Academic Misconduct Appeals Committee may request further information or evidence from the candidate. The appeal will then be referred, together with the original documentation relating to the allegation of academic misconduct, to the Chair of the Academic Misconduct Appeals Committee.</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16.</w:t>
      </w:r>
      <w:r w:rsidRPr="000E7B57">
        <w:rPr>
          <w:rFonts w:eastAsia="Times New Roman"/>
          <w:color w:val="000000"/>
          <w:sz w:val="20"/>
          <w:szCs w:val="20"/>
        </w:rPr>
        <w:t xml:space="preserve"> The Chair of the Academic Misconduct Appeals Committee shall review the case and may request further information from the candidate or from the relevant Head of Department/Associate Dean (Teaching). Where the Chair has any previous connection with the case, it shall be considered by the other appointed member of the Academic Misconduct Appeals Committee, or by one of the reserve members. The Chair may confirm, set aside or amend the decision of the relevant Head of Department/Associate Dean (Teaching) and may confirm, increase or decrease any penalty imposed. In exceptional circumstances, if s/he deems it appropriate, the Chair may refer the case to a full meeting of the Academic Misconduct Appeals Committee. The Chair shall convey his/her decision in writing to the candidate within 15 working days of receipt of the complete appeal documentation from the candidate by the Secretary of the Academic Misconduct Appeals Committee. The decision of the Dean Chair shall be final.</w:t>
      </w:r>
    </w:p>
    <w:p w:rsidR="000E7B57" w:rsidRPr="000E7B57" w:rsidRDefault="000E7B57" w:rsidP="000E7B57">
      <w:pPr>
        <w:spacing w:before="100" w:beforeAutospacing="1" w:after="100" w:afterAutospacing="1" w:line="240" w:lineRule="auto"/>
        <w:outlineLvl w:val="3"/>
        <w:rPr>
          <w:rFonts w:eastAsia="Times New Roman"/>
          <w:b/>
          <w:bCs/>
          <w:color w:val="000000"/>
        </w:rPr>
      </w:pPr>
      <w:r w:rsidRPr="000E7B57">
        <w:rPr>
          <w:rFonts w:eastAsia="Times New Roman"/>
          <w:b/>
          <w:bCs/>
          <w:color w:val="000000"/>
        </w:rPr>
        <w:t>Major Offences</w:t>
      </w:r>
    </w:p>
    <w:p w:rsidR="000E7B57" w:rsidRPr="000E7B57" w:rsidRDefault="000E7B57" w:rsidP="000E7B57">
      <w:pPr>
        <w:spacing w:before="100" w:beforeAutospacing="1" w:after="100" w:afterAutospacing="1" w:line="240" w:lineRule="auto"/>
        <w:outlineLvl w:val="4"/>
        <w:rPr>
          <w:rFonts w:eastAsia="Times New Roman"/>
          <w:b/>
          <w:bCs/>
          <w:color w:val="000000"/>
          <w:sz w:val="20"/>
          <w:szCs w:val="20"/>
        </w:rPr>
      </w:pPr>
      <w:r w:rsidRPr="000E7B57">
        <w:rPr>
          <w:rFonts w:eastAsia="Times New Roman"/>
          <w:b/>
          <w:bCs/>
          <w:color w:val="000000"/>
          <w:sz w:val="20"/>
          <w:szCs w:val="20"/>
        </w:rPr>
        <w:t>Definition and Jurisdiction</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17.</w:t>
      </w:r>
      <w:r w:rsidRPr="000E7B57">
        <w:rPr>
          <w:rFonts w:eastAsia="Times New Roman"/>
          <w:color w:val="000000"/>
          <w:sz w:val="20"/>
          <w:szCs w:val="20"/>
        </w:rPr>
        <w:t xml:space="preserve"> An incident shall normally be deemed to be a Major Offence of academic misconduct if it relates to an assessment undertaken in an Examination Hall, or to other assessed work where the nature of the incident together with the circumstances of the candidate make appropriate a substantial punishment. Examples include failure to acknowledge sources in a substantial amount of coursework, and substantial verbatim (or near verbatim) copying of another student’s work. These examples are not intended to be exhaustive. In exceptional circumstances, where, for example, a very limited technical offence is committed, the Academic Registrar may re-designate an offence of academic misconduct relating to an assessment undertaken in an Examination Hall as a Minor Offence.</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18.</w:t>
      </w:r>
      <w:r w:rsidRPr="000E7B57">
        <w:rPr>
          <w:rFonts w:eastAsia="Times New Roman"/>
          <w:color w:val="000000"/>
          <w:sz w:val="20"/>
          <w:szCs w:val="20"/>
        </w:rPr>
        <w:t xml:space="preserve"> Major Offences shall be considered by an Academic Misconduct Committee appointed by the Senate on an annual basis with the following constitution:</w:t>
      </w:r>
    </w:p>
    <w:p w:rsidR="000E7B57" w:rsidRPr="000E7B57" w:rsidRDefault="000E7B57" w:rsidP="000E7B57">
      <w:pPr>
        <w:numPr>
          <w:ilvl w:val="0"/>
          <w:numId w:val="16"/>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Two Associate Deans (Teaching), one of whom shall act as Chair.   </w:t>
      </w:r>
    </w:p>
    <w:p w:rsidR="000E7B57" w:rsidRPr="000E7B57" w:rsidRDefault="000E7B57" w:rsidP="000E7B57">
      <w:pPr>
        <w:numPr>
          <w:ilvl w:val="0"/>
          <w:numId w:val="16"/>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One University member of the Loughborough Students’ Union Executive nominated by the Executive. </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lastRenderedPageBreak/>
        <w:t>Two further Associate Deans (Teaching) shall be appointed on an annual basis as reserves, to act as full members in cases where the Chair and/or other appointed member have a previous connection.</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The Academic Registrar shall appoint a member of Academic Registry staff to act as Secretary to the Committee.</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No individual who has any connection with the case to be heard may serve on the Academic Misconduct Committee or act as its Secretary.</w:t>
      </w:r>
    </w:p>
    <w:p w:rsidR="000E7B57" w:rsidRPr="000E7B57" w:rsidRDefault="000E7B57" w:rsidP="000E7B57">
      <w:pPr>
        <w:spacing w:before="100" w:beforeAutospacing="1" w:after="100" w:afterAutospacing="1" w:line="240" w:lineRule="auto"/>
        <w:outlineLvl w:val="4"/>
        <w:rPr>
          <w:rFonts w:eastAsia="Times New Roman"/>
          <w:b/>
          <w:bCs/>
          <w:color w:val="000000"/>
          <w:sz w:val="20"/>
          <w:szCs w:val="20"/>
        </w:rPr>
      </w:pPr>
      <w:r w:rsidRPr="000E7B57">
        <w:rPr>
          <w:rFonts w:eastAsia="Times New Roman"/>
          <w:b/>
          <w:bCs/>
          <w:color w:val="000000"/>
          <w:sz w:val="20"/>
          <w:szCs w:val="20"/>
        </w:rPr>
        <w:t>Procedure</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19.</w:t>
      </w:r>
      <w:r w:rsidRPr="000E7B57">
        <w:rPr>
          <w:rFonts w:eastAsia="Times New Roman"/>
          <w:color w:val="000000"/>
          <w:sz w:val="20"/>
          <w:szCs w:val="20"/>
        </w:rPr>
        <w:t xml:space="preserve"> In the case of an assessment taking place in an Examination Hall, any incident of alleged academic misconduct shall be reported immediately, with evidence, to the Academic Registrar. In the case of other assessed work, any circumstances which appear to an examiner to suggest that a candidate has committed any act of academic misconduct shall be reported immediately to the relevant Head of Department/Associate Dean (Teaching) and action shall be taken in accordance with paragraphs 9 and 10 above.</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20.</w:t>
      </w:r>
      <w:r w:rsidRPr="000E7B57">
        <w:rPr>
          <w:rFonts w:eastAsia="Times New Roman"/>
          <w:color w:val="000000"/>
          <w:sz w:val="20"/>
          <w:szCs w:val="20"/>
        </w:rPr>
        <w:t xml:space="preserve"> Candidates shall be notified in writing of alleged Major Offences by the Secretary of the Academic Misconduct Committee at least fifteen working days before the date of the Committee meeting. The notification shall include the nature of the charge, the evidence, and the date and time of the meeting of the Committee convened to consider the case together with details of the members of the Committee. Candidates shall be invited to admit or deny the allegation.</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21.</w:t>
      </w:r>
      <w:r w:rsidRPr="000E7B57">
        <w:rPr>
          <w:rFonts w:eastAsia="Times New Roman"/>
          <w:color w:val="000000"/>
          <w:sz w:val="20"/>
          <w:szCs w:val="20"/>
        </w:rPr>
        <w:t xml:space="preserve"> Candidates have the following rights:</w:t>
      </w:r>
    </w:p>
    <w:p w:rsidR="000E7B57" w:rsidRPr="000E7B57" w:rsidRDefault="000E7B57" w:rsidP="000E7B57">
      <w:pPr>
        <w:numPr>
          <w:ilvl w:val="0"/>
          <w:numId w:val="17"/>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To submit a written defence and any other written evidence. </w:t>
      </w:r>
    </w:p>
    <w:p w:rsidR="000E7B57" w:rsidRPr="000E7B57" w:rsidRDefault="000E7B57" w:rsidP="000E7B57">
      <w:pPr>
        <w:numPr>
          <w:ilvl w:val="0"/>
          <w:numId w:val="17"/>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To attend the Committee meeting in person. </w:t>
      </w:r>
    </w:p>
    <w:p w:rsidR="000E7B57" w:rsidRPr="000E7B57" w:rsidRDefault="000E7B57" w:rsidP="000E7B57">
      <w:pPr>
        <w:numPr>
          <w:ilvl w:val="0"/>
          <w:numId w:val="17"/>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To be accompanied by an individual of their own choosing. </w:t>
      </w:r>
    </w:p>
    <w:p w:rsidR="000E7B57" w:rsidRPr="000E7B57" w:rsidRDefault="000E7B57" w:rsidP="000E7B57">
      <w:pPr>
        <w:numPr>
          <w:ilvl w:val="0"/>
          <w:numId w:val="17"/>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To call witnesses for examination at the meeting. </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Any mitigating circumstances raised in defence by a candidate will normally be considered only if supporting documentary evidence is provided.</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22.</w:t>
      </w:r>
      <w:r w:rsidRPr="000E7B57">
        <w:rPr>
          <w:rFonts w:eastAsia="Times New Roman"/>
          <w:color w:val="000000"/>
          <w:sz w:val="20"/>
          <w:szCs w:val="20"/>
        </w:rPr>
        <w:t xml:space="preserve"> The written evidence, together with the name and status of any accompanying individual, and of any persons to be called as witnesses must be received by the Secretary at least 7 working days before the date of the meeting. The full documentation shall be circulated to all participants at least 5 working days before the meeting.</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23.</w:t>
      </w:r>
      <w:r w:rsidRPr="000E7B57">
        <w:rPr>
          <w:rFonts w:eastAsia="Times New Roman"/>
          <w:color w:val="000000"/>
          <w:sz w:val="20"/>
          <w:szCs w:val="20"/>
        </w:rPr>
        <w:t xml:space="preserve"> The relevant Head of Department/Associate Dean (Teaching) may make a written submission to the Committee and recommendations as to the outcome. The External Examiner may be consulted in the preparation of this submission. Any submission of this kind must be received by the Secretary at least 7 working days before the date of the meeting. The Committee shall consider, but will not be bound by, any such submission.</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24.</w:t>
      </w:r>
      <w:r w:rsidRPr="000E7B57">
        <w:rPr>
          <w:rFonts w:eastAsia="Times New Roman"/>
          <w:color w:val="000000"/>
          <w:sz w:val="20"/>
          <w:szCs w:val="20"/>
        </w:rPr>
        <w:t xml:space="preserve"> The Committee may require the relevant Head of Department/Associate Dean (Teaching) or his/her nominee and the Responsible Examiner to attend the meeting in person.</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25.</w:t>
      </w:r>
      <w:r w:rsidRPr="000E7B57">
        <w:rPr>
          <w:rFonts w:eastAsia="Times New Roman"/>
          <w:color w:val="000000"/>
          <w:sz w:val="20"/>
          <w:szCs w:val="20"/>
        </w:rPr>
        <w:t xml:space="preserve"> Where compliance with the timescales set out in this Regulation preclude the consideration of an allegation of academic misconduct prior to the meeting of the Programme Board responsible for deciding on the performance of a candidate against whom an allegation is made, the following procedure shall be followed:</w:t>
      </w:r>
    </w:p>
    <w:p w:rsidR="000E7B57" w:rsidRPr="000E7B57" w:rsidRDefault="000E7B57" w:rsidP="000E7B57">
      <w:pPr>
        <w:numPr>
          <w:ilvl w:val="0"/>
          <w:numId w:val="18"/>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Programme Board shall defer reaching a decision on the candidate, and delegate authority to the Academic Registrar to promulgate the decision at a later date, taking into account any penalty imposed by the Committee. </w:t>
      </w:r>
    </w:p>
    <w:p w:rsidR="000E7B57" w:rsidRPr="000E7B57" w:rsidRDefault="000E7B57" w:rsidP="000E7B57">
      <w:pPr>
        <w:numPr>
          <w:ilvl w:val="0"/>
          <w:numId w:val="18"/>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lastRenderedPageBreak/>
        <w:t xml:space="preserve">Where the Academic Registrar considers it appropriate (for example, where the candidate's degree mark is close to a classification boundary), the Programme Board shall be formally reconvened to promulgate the decision, taking into account any penalty imposed by the Committee. </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26.</w:t>
      </w:r>
      <w:r w:rsidRPr="000E7B57">
        <w:rPr>
          <w:rFonts w:eastAsia="Times New Roman"/>
          <w:color w:val="000000"/>
          <w:sz w:val="20"/>
          <w:szCs w:val="20"/>
        </w:rPr>
        <w:t xml:space="preserve"> The proceedings of the meeting shall normally take the following form:</w:t>
      </w:r>
    </w:p>
    <w:p w:rsidR="000E7B57" w:rsidRPr="000E7B57" w:rsidRDefault="000E7B57" w:rsidP="000E7B57">
      <w:pPr>
        <w:numPr>
          <w:ilvl w:val="0"/>
          <w:numId w:val="19"/>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evidence against the candidate shall be presented. Where the allegation relates to an assessment undertaken in an Examination Hall, the invigilator who detected the incident may be required to present the evidence. In the case of other assessed work, the evidence will normally be presented by the relevant Head of Department/Associate Dean (Teaching) or his/her nominee. </w:t>
      </w:r>
    </w:p>
    <w:p w:rsidR="000E7B57" w:rsidRPr="000E7B57" w:rsidRDefault="000E7B57" w:rsidP="000E7B57">
      <w:pPr>
        <w:numPr>
          <w:ilvl w:val="0"/>
          <w:numId w:val="19"/>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candidate shall be allowed to respond to the allegations. </w:t>
      </w:r>
    </w:p>
    <w:p w:rsidR="000E7B57" w:rsidRPr="000E7B57" w:rsidRDefault="000E7B57" w:rsidP="000E7B57">
      <w:pPr>
        <w:numPr>
          <w:ilvl w:val="0"/>
          <w:numId w:val="19"/>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Committee shall ask questions of the candidate, and any witnesses. </w:t>
      </w:r>
    </w:p>
    <w:p w:rsidR="000E7B57" w:rsidRPr="000E7B57" w:rsidRDefault="000E7B57" w:rsidP="000E7B57">
      <w:pPr>
        <w:numPr>
          <w:ilvl w:val="0"/>
          <w:numId w:val="19"/>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candidate shall ask questions of any witnesses, and make his/her final statement. </w:t>
      </w:r>
    </w:p>
    <w:p w:rsidR="000E7B57" w:rsidRPr="000E7B57" w:rsidRDefault="000E7B57" w:rsidP="000E7B57">
      <w:pPr>
        <w:numPr>
          <w:ilvl w:val="0"/>
          <w:numId w:val="19"/>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Within this framework the Committee has discretion over the conduct of the proceedings. </w:t>
      </w:r>
    </w:p>
    <w:p w:rsidR="000E7B57" w:rsidRPr="000E7B57" w:rsidRDefault="000E7B57" w:rsidP="000E7B57">
      <w:pPr>
        <w:numPr>
          <w:ilvl w:val="0"/>
          <w:numId w:val="19"/>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With the agreement of the candidate, the procedure may be simplified in cases where the candidate has admitted the allegation. </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27.</w:t>
      </w:r>
      <w:r w:rsidRPr="000E7B57">
        <w:rPr>
          <w:rFonts w:eastAsia="Times New Roman"/>
          <w:color w:val="000000"/>
          <w:sz w:val="20"/>
          <w:szCs w:val="20"/>
        </w:rPr>
        <w:t xml:space="preserve"> Having taken into account all the evidence, and the defence, if any, the Committee alone, advised by its Secretary, shall decide whether the candidate is guilty of the offence, and if so, the appropriate penalty from those permitted under paragraph 28 below. In determining the penalty, the Committee shall also take into account the extent to which the circumstances suggest the candidate intended to obtain an unfair advantage for him/herself or another. The candidate shall be informed of the decision and the reasons for it in writing within 3 working days of the meeting. The Committee may notify the candidate orally in advance of the written communication at its discretion. If the Committee decides against the candidate, he/she shall be notified of the right of appeal under paragraph 29 below.</w:t>
      </w:r>
    </w:p>
    <w:p w:rsidR="000E7B57" w:rsidRPr="000E7B57" w:rsidRDefault="000E7B57" w:rsidP="000E7B57">
      <w:pPr>
        <w:spacing w:before="100" w:beforeAutospacing="1" w:after="100" w:afterAutospacing="1" w:line="240" w:lineRule="auto"/>
        <w:outlineLvl w:val="4"/>
        <w:rPr>
          <w:rFonts w:eastAsia="Times New Roman"/>
          <w:b/>
          <w:bCs/>
          <w:color w:val="000000"/>
          <w:sz w:val="20"/>
          <w:szCs w:val="20"/>
        </w:rPr>
      </w:pPr>
      <w:r w:rsidRPr="000E7B57">
        <w:rPr>
          <w:rFonts w:eastAsia="Times New Roman"/>
          <w:b/>
          <w:bCs/>
          <w:color w:val="000000"/>
          <w:sz w:val="20"/>
          <w:szCs w:val="20"/>
        </w:rPr>
        <w:t>Penalties</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28.</w:t>
      </w:r>
      <w:r w:rsidRPr="000E7B57">
        <w:rPr>
          <w:rFonts w:eastAsia="Times New Roman"/>
          <w:color w:val="000000"/>
          <w:sz w:val="20"/>
          <w:szCs w:val="20"/>
        </w:rPr>
        <w:t xml:space="preserve"> Where a candidate is found guilty of academic misconduct, the Academic Misconduct Committee shall be empowered to impose one or more of the following penalties:</w:t>
      </w:r>
    </w:p>
    <w:p w:rsidR="000E7B57" w:rsidRPr="000E7B57" w:rsidRDefault="000E7B57" w:rsidP="000E7B57">
      <w:pPr>
        <w:numPr>
          <w:ilvl w:val="0"/>
          <w:numId w:val="20"/>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issue of a formal reprimand. </w:t>
      </w:r>
    </w:p>
    <w:p w:rsidR="000E7B57" w:rsidRPr="000E7B57" w:rsidRDefault="000E7B57" w:rsidP="000E7B57">
      <w:pPr>
        <w:numPr>
          <w:ilvl w:val="0"/>
          <w:numId w:val="20"/>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reduction by any amount of any or all the marks obtained by the candidate in any module in the current part of the candidate's programme. </w:t>
      </w:r>
    </w:p>
    <w:p w:rsidR="000E7B57" w:rsidRPr="000E7B57" w:rsidRDefault="000E7B57" w:rsidP="000E7B57">
      <w:pPr>
        <w:numPr>
          <w:ilvl w:val="0"/>
          <w:numId w:val="20"/>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withdrawal of reassessment rights in any module in the current part of the candidate's programme. </w:t>
      </w:r>
    </w:p>
    <w:p w:rsidR="000E7B57" w:rsidRPr="000E7B57" w:rsidRDefault="000E7B57" w:rsidP="000E7B57">
      <w:pPr>
        <w:numPr>
          <w:ilvl w:val="0"/>
          <w:numId w:val="20"/>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To set a cap on any mark achieved by the candidate on reassessment in any module in the current part of the candidate's programme. </w:t>
      </w:r>
    </w:p>
    <w:p w:rsidR="000E7B57" w:rsidRPr="000E7B57" w:rsidRDefault="000E7B57" w:rsidP="000E7B57">
      <w:pPr>
        <w:numPr>
          <w:ilvl w:val="0"/>
          <w:numId w:val="20"/>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immediate termination of the candidate's studies. </w:t>
      </w:r>
    </w:p>
    <w:p w:rsidR="000E7B57" w:rsidRPr="000E7B57" w:rsidRDefault="000E7B57" w:rsidP="000E7B57">
      <w:pPr>
        <w:spacing w:before="100" w:beforeAutospacing="1" w:after="100" w:afterAutospacing="1" w:line="240" w:lineRule="auto"/>
        <w:outlineLvl w:val="4"/>
        <w:rPr>
          <w:rFonts w:eastAsia="Times New Roman"/>
          <w:b/>
          <w:bCs/>
          <w:color w:val="000000"/>
          <w:sz w:val="20"/>
          <w:szCs w:val="20"/>
        </w:rPr>
      </w:pPr>
      <w:r w:rsidRPr="000E7B57">
        <w:rPr>
          <w:rFonts w:eastAsia="Times New Roman"/>
          <w:b/>
          <w:bCs/>
          <w:color w:val="000000"/>
          <w:sz w:val="20"/>
          <w:szCs w:val="20"/>
        </w:rPr>
        <w:t>Appeals</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29.</w:t>
      </w:r>
      <w:r w:rsidRPr="000E7B57">
        <w:rPr>
          <w:rFonts w:eastAsia="Times New Roman"/>
          <w:color w:val="000000"/>
          <w:sz w:val="20"/>
          <w:szCs w:val="20"/>
        </w:rPr>
        <w:t xml:space="preserve"> Candidates found guilty of Major Offences shall have the right of appeal to the Academic Misconduct Appeals Committee against the decisions of, and / or penalties imposed by the Academic Misconduct Committee. Appeals should be submitted in writing to the Secretary of the Academic Misconduct Appeals Committee (see paragraph 30 below) within 10 working days of the candidate receiving notification of the decision of the Academic Misconduct Committee, and should set out the grounds for, and nature of the appeal together with any evidence. Possible grounds for appeal include those listed in paragraph 15 above.</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30.</w:t>
      </w:r>
      <w:r w:rsidRPr="000E7B57">
        <w:rPr>
          <w:rFonts w:eastAsia="Times New Roman"/>
          <w:color w:val="000000"/>
          <w:sz w:val="20"/>
          <w:szCs w:val="20"/>
        </w:rPr>
        <w:t xml:space="preserve"> The Academic Misconduct Appeals Committee shall be appointed by the Senate on an annual basis with the following constitution:</w:t>
      </w:r>
    </w:p>
    <w:p w:rsidR="000E7B57" w:rsidRPr="000E7B57" w:rsidRDefault="000E7B57" w:rsidP="000E7B57">
      <w:pPr>
        <w:numPr>
          <w:ilvl w:val="0"/>
          <w:numId w:val="21"/>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Two Associate Deans (Teaching) of whom shall act as Chair. </w:t>
      </w:r>
    </w:p>
    <w:p w:rsidR="000E7B57" w:rsidRPr="000E7B57" w:rsidRDefault="000E7B57" w:rsidP="000E7B57">
      <w:pPr>
        <w:numPr>
          <w:ilvl w:val="0"/>
          <w:numId w:val="21"/>
        </w:num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lastRenderedPageBreak/>
        <w:t xml:space="preserve">One University member of the Loughborough Students’ Union Executive nominated by the Executive. </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Two further Associate Deans (Teaching) shall be appointed on an annual basis as reserves, to act as full members in cases where the Chair and/or other appointed member have a previous connection.</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color w:val="000000"/>
          <w:sz w:val="20"/>
          <w:szCs w:val="20"/>
        </w:rPr>
        <w:t xml:space="preserve">The Academic Registrar shall appoint a member of Academic Registry staff to act as Secretary to the Appeals Committee. </w:t>
      </w:r>
      <w:r w:rsidRPr="000E7B57">
        <w:rPr>
          <w:rFonts w:eastAsia="Times New Roman"/>
          <w:color w:val="000000"/>
          <w:sz w:val="20"/>
          <w:szCs w:val="20"/>
        </w:rPr>
        <w:br/>
        <w:t>No individual who has any previous connection with the case to be heard may serve on the Academic Misconduct Appeals Committee or act as its Secretary.</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31.</w:t>
      </w:r>
      <w:r w:rsidRPr="000E7B57">
        <w:rPr>
          <w:rFonts w:eastAsia="Times New Roman"/>
          <w:color w:val="000000"/>
          <w:sz w:val="20"/>
          <w:szCs w:val="20"/>
        </w:rPr>
        <w:t xml:space="preserve"> The Academic Misconduct Appeals Committee shall decide upon a procedure for the meeting that is appropriate to the nature and grounds of the appeal being considered.</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32.</w:t>
      </w:r>
      <w:r w:rsidRPr="000E7B57">
        <w:rPr>
          <w:rFonts w:eastAsia="Times New Roman"/>
          <w:color w:val="000000"/>
          <w:sz w:val="20"/>
          <w:szCs w:val="20"/>
        </w:rPr>
        <w:t xml:space="preserve"> Having reviewed the case, the Academic Misconduct Appeals Committee shall reach a decision on the appeal. The Appeals Committee may confirm, set aside or amend the decision of the Academic Misconduct Committee and may confirm, increase or decrease any penalty imposed. The appellant shall be informed of the decision and the reasons for it in writing within 3 working days of the meeting. The Committee may notify the candidate orally in advance of the written communication at its discretion. The decision of the Appeals Committee shall be final.</w:t>
      </w:r>
    </w:p>
    <w:p w:rsidR="000E7B57" w:rsidRPr="000E7B57" w:rsidRDefault="000E7B57" w:rsidP="000E7B57">
      <w:pPr>
        <w:spacing w:before="100" w:beforeAutospacing="1" w:after="100" w:afterAutospacing="1" w:line="240" w:lineRule="auto"/>
        <w:outlineLvl w:val="3"/>
        <w:rPr>
          <w:rFonts w:eastAsia="Times New Roman"/>
          <w:b/>
          <w:bCs/>
          <w:color w:val="000000"/>
        </w:rPr>
      </w:pPr>
      <w:r w:rsidRPr="000E7B57">
        <w:rPr>
          <w:rFonts w:eastAsia="Times New Roman"/>
          <w:b/>
          <w:bCs/>
          <w:color w:val="000000"/>
        </w:rPr>
        <w:t>Monitoring and Review</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33.</w:t>
      </w:r>
      <w:r w:rsidRPr="000E7B57">
        <w:rPr>
          <w:rFonts w:eastAsia="Times New Roman"/>
          <w:color w:val="000000"/>
          <w:sz w:val="20"/>
          <w:szCs w:val="20"/>
        </w:rPr>
        <w:t xml:space="preserve"> The relevant Head of Department/Associate Dean (Teaching) shall inform the Academic Registrar immediately of any alleged Minor Offences of academic misconduct under investigation and the Academic Registrar shall be responsible for identifying concurrent allegations relating to one candidate. A record of all incidents of academic misconduct that are upheld and any penalties shall be kept on the candidate’s central University record. All documentation arising from incidents, including appeals, shall be forwarded to the Academic Registrar who shall ensure that the department responsible for the student is informed if the incident of academic misconduct does not relate to a module(s) offered by that department.</w:t>
      </w:r>
    </w:p>
    <w:p w:rsidR="000E7B57" w:rsidRPr="000E7B57" w:rsidRDefault="000E7B57" w:rsidP="000E7B57">
      <w:pPr>
        <w:spacing w:before="100" w:beforeAutospacing="1" w:after="100" w:afterAutospacing="1" w:line="240" w:lineRule="auto"/>
        <w:rPr>
          <w:rFonts w:eastAsia="Times New Roman"/>
          <w:color w:val="000000"/>
          <w:sz w:val="20"/>
          <w:szCs w:val="20"/>
        </w:rPr>
      </w:pPr>
      <w:r w:rsidRPr="000E7B57">
        <w:rPr>
          <w:rFonts w:eastAsia="Times New Roman"/>
          <w:b/>
          <w:bCs/>
          <w:color w:val="000000"/>
          <w:sz w:val="20"/>
          <w:szCs w:val="20"/>
        </w:rPr>
        <w:t>34.</w:t>
      </w:r>
      <w:r w:rsidRPr="000E7B57">
        <w:rPr>
          <w:rFonts w:eastAsia="Times New Roman"/>
          <w:color w:val="000000"/>
          <w:sz w:val="20"/>
          <w:szCs w:val="20"/>
        </w:rPr>
        <w:t xml:space="preserve"> An annual report to the Learning and Teaching Committee on all incidents of academic misconduct and the outcomes thereof will be prepared by a member of Academic Registry staff nominated by the Academic Registrar.</w:t>
      </w:r>
    </w:p>
    <w:p w:rsidR="000E7B57" w:rsidRPr="00B96A39" w:rsidRDefault="000E7B57" w:rsidP="000E7B57">
      <w:pPr>
        <w:spacing w:after="0" w:line="240" w:lineRule="auto"/>
        <w:rPr>
          <w:bCs/>
          <w:color w:val="000000"/>
          <w:sz w:val="22"/>
          <w:szCs w:val="22"/>
        </w:rPr>
      </w:pPr>
      <w:r w:rsidRPr="000E7B57">
        <w:rPr>
          <w:rFonts w:eastAsia="Times New Roman"/>
          <w:color w:val="000000"/>
          <w:sz w:val="20"/>
          <w:szCs w:val="20"/>
        </w:rPr>
        <w:t>Last modified: 12 Dec 2011</w:t>
      </w:r>
    </w:p>
    <w:sectPr w:rsidR="000E7B57" w:rsidRPr="00B96A39" w:rsidSect="00C26AEB">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92" w:rsidRDefault="00C93092" w:rsidP="00EF3198">
      <w:pPr>
        <w:spacing w:after="0" w:line="240" w:lineRule="auto"/>
      </w:pPr>
      <w:r>
        <w:separator/>
      </w:r>
    </w:p>
  </w:endnote>
  <w:endnote w:type="continuationSeparator" w:id="0">
    <w:p w:rsidR="00C93092" w:rsidRDefault="00C93092" w:rsidP="00EF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92" w:rsidRDefault="00C93092" w:rsidP="00EF3198">
      <w:pPr>
        <w:spacing w:after="0" w:line="240" w:lineRule="auto"/>
      </w:pPr>
      <w:r>
        <w:separator/>
      </w:r>
    </w:p>
  </w:footnote>
  <w:footnote w:type="continuationSeparator" w:id="0">
    <w:p w:rsidR="00C93092" w:rsidRDefault="00C93092" w:rsidP="00EF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EB" w:rsidRPr="009B34ED" w:rsidRDefault="00C26AEB" w:rsidP="00C26AEB">
    <w:pPr>
      <w:pStyle w:val="Header"/>
      <w:jc w:val="right"/>
      <w:rPr>
        <w:rFonts w:asciiTheme="minorBidi" w:hAnsiTheme="minorBidi" w:cstheme="minorBidi"/>
        <w:sz w:val="22"/>
        <w:szCs w:val="22"/>
      </w:rPr>
    </w:pPr>
    <w:r w:rsidRPr="009B34ED">
      <w:rPr>
        <w:rFonts w:asciiTheme="minorBidi" w:hAnsiTheme="minorBidi" w:cstheme="minorBidi"/>
        <w:sz w:val="22"/>
        <w:szCs w:val="22"/>
      </w:rPr>
      <w:t>LTC12-P68</w:t>
    </w:r>
  </w:p>
  <w:p w:rsidR="00C26AEB" w:rsidRPr="009B34ED" w:rsidRDefault="00C26AEB" w:rsidP="00C26AEB">
    <w:pPr>
      <w:pStyle w:val="Header"/>
      <w:jc w:val="right"/>
      <w:rPr>
        <w:rFonts w:asciiTheme="minorBidi" w:hAnsiTheme="minorBidi" w:cstheme="minorBidi"/>
        <w:sz w:val="22"/>
        <w:szCs w:val="22"/>
      </w:rPr>
    </w:pPr>
    <w:r w:rsidRPr="009B34ED">
      <w:rPr>
        <w:rFonts w:asciiTheme="minorBidi" w:hAnsiTheme="minorBidi" w:cstheme="minorBidi"/>
        <w:sz w:val="22"/>
        <w:szCs w:val="22"/>
      </w:rPr>
      <w:t>13 December 2012</w:t>
    </w:r>
  </w:p>
  <w:p w:rsidR="00C26AEB" w:rsidRDefault="00C26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313"/>
    <w:multiLevelType w:val="hybridMultilevel"/>
    <w:tmpl w:val="B63CAE7C"/>
    <w:lvl w:ilvl="0" w:tplc="B06A4E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9720E94"/>
    <w:multiLevelType w:val="multilevel"/>
    <w:tmpl w:val="E10A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713B"/>
    <w:multiLevelType w:val="multilevel"/>
    <w:tmpl w:val="7C92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D4008"/>
    <w:multiLevelType w:val="multilevel"/>
    <w:tmpl w:val="6860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518EB"/>
    <w:multiLevelType w:val="multilevel"/>
    <w:tmpl w:val="5EC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43207"/>
    <w:multiLevelType w:val="hybridMultilevel"/>
    <w:tmpl w:val="01A6A3DA"/>
    <w:lvl w:ilvl="0" w:tplc="66AE76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C63307B"/>
    <w:multiLevelType w:val="multilevel"/>
    <w:tmpl w:val="48F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C40B9"/>
    <w:multiLevelType w:val="hybridMultilevel"/>
    <w:tmpl w:val="11D433FA"/>
    <w:lvl w:ilvl="0" w:tplc="63A04C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EEA1BAA"/>
    <w:multiLevelType w:val="multilevel"/>
    <w:tmpl w:val="DB3E7EC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890049"/>
    <w:multiLevelType w:val="multilevel"/>
    <w:tmpl w:val="50DA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10345"/>
    <w:multiLevelType w:val="multilevel"/>
    <w:tmpl w:val="5C7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B2D2C"/>
    <w:multiLevelType w:val="multilevel"/>
    <w:tmpl w:val="5E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F2891"/>
    <w:multiLevelType w:val="hybridMultilevel"/>
    <w:tmpl w:val="048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E12BAB"/>
    <w:multiLevelType w:val="hybridMultilevel"/>
    <w:tmpl w:val="4FBAF546"/>
    <w:lvl w:ilvl="0" w:tplc="F822E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164D32"/>
    <w:multiLevelType w:val="hybridMultilevel"/>
    <w:tmpl w:val="0FD0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294216"/>
    <w:multiLevelType w:val="multilevel"/>
    <w:tmpl w:val="F0A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8524A"/>
    <w:multiLevelType w:val="hybridMultilevel"/>
    <w:tmpl w:val="4078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515C0D"/>
    <w:multiLevelType w:val="multilevel"/>
    <w:tmpl w:val="390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967B8"/>
    <w:multiLevelType w:val="hybridMultilevel"/>
    <w:tmpl w:val="949A8254"/>
    <w:lvl w:ilvl="0" w:tplc="6E44B9E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DB11B5"/>
    <w:multiLevelType w:val="multilevel"/>
    <w:tmpl w:val="03F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BF47A3"/>
    <w:multiLevelType w:val="hybridMultilevel"/>
    <w:tmpl w:val="08A4D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8"/>
  </w:num>
  <w:num w:numId="5">
    <w:abstractNumId w:val="7"/>
  </w:num>
  <w:num w:numId="6">
    <w:abstractNumId w:val="0"/>
  </w:num>
  <w:num w:numId="7">
    <w:abstractNumId w:val="16"/>
  </w:num>
  <w:num w:numId="8">
    <w:abstractNumId w:val="19"/>
  </w:num>
  <w:num w:numId="9">
    <w:abstractNumId w:val="20"/>
  </w:num>
  <w:num w:numId="10">
    <w:abstractNumId w:val="12"/>
  </w:num>
  <w:num w:numId="11">
    <w:abstractNumId w:val="13"/>
  </w:num>
  <w:num w:numId="12">
    <w:abstractNumId w:val="15"/>
  </w:num>
  <w:num w:numId="13">
    <w:abstractNumId w:val="1"/>
  </w:num>
  <w:num w:numId="14">
    <w:abstractNumId w:val="6"/>
  </w:num>
  <w:num w:numId="15">
    <w:abstractNumId w:val="3"/>
  </w:num>
  <w:num w:numId="16">
    <w:abstractNumId w:val="10"/>
  </w:num>
  <w:num w:numId="17">
    <w:abstractNumId w:val="4"/>
  </w:num>
  <w:num w:numId="18">
    <w:abstractNumId w:val="2"/>
  </w:num>
  <w:num w:numId="19">
    <w:abstractNumId w:val="17"/>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E5"/>
    <w:rsid w:val="00033ADF"/>
    <w:rsid w:val="000D3EF4"/>
    <w:rsid w:val="000D61BE"/>
    <w:rsid w:val="000E7B57"/>
    <w:rsid w:val="00183FC3"/>
    <w:rsid w:val="001D5C46"/>
    <w:rsid w:val="00235978"/>
    <w:rsid w:val="00290B76"/>
    <w:rsid w:val="002C261E"/>
    <w:rsid w:val="002E5489"/>
    <w:rsid w:val="002F3925"/>
    <w:rsid w:val="0031443C"/>
    <w:rsid w:val="00370634"/>
    <w:rsid w:val="00394BA2"/>
    <w:rsid w:val="003A6264"/>
    <w:rsid w:val="003D09DA"/>
    <w:rsid w:val="004A18AE"/>
    <w:rsid w:val="004A7FE5"/>
    <w:rsid w:val="004F0306"/>
    <w:rsid w:val="006035FE"/>
    <w:rsid w:val="00612193"/>
    <w:rsid w:val="006F1CEF"/>
    <w:rsid w:val="00791EBD"/>
    <w:rsid w:val="007B7DDD"/>
    <w:rsid w:val="00831A16"/>
    <w:rsid w:val="00841212"/>
    <w:rsid w:val="00864832"/>
    <w:rsid w:val="008B5D10"/>
    <w:rsid w:val="00931FDC"/>
    <w:rsid w:val="00942CFF"/>
    <w:rsid w:val="00990127"/>
    <w:rsid w:val="00990BB4"/>
    <w:rsid w:val="0099178B"/>
    <w:rsid w:val="009D7AF7"/>
    <w:rsid w:val="00A177FF"/>
    <w:rsid w:val="00A975B9"/>
    <w:rsid w:val="00B315A7"/>
    <w:rsid w:val="00B415FC"/>
    <w:rsid w:val="00B96A39"/>
    <w:rsid w:val="00BF1D21"/>
    <w:rsid w:val="00C14DB2"/>
    <w:rsid w:val="00C17287"/>
    <w:rsid w:val="00C26AEB"/>
    <w:rsid w:val="00C33B16"/>
    <w:rsid w:val="00C45F25"/>
    <w:rsid w:val="00C93092"/>
    <w:rsid w:val="00D242FD"/>
    <w:rsid w:val="00DB78D1"/>
    <w:rsid w:val="00DF038D"/>
    <w:rsid w:val="00DF0CD9"/>
    <w:rsid w:val="00E221F7"/>
    <w:rsid w:val="00E405A8"/>
    <w:rsid w:val="00EF3198"/>
    <w:rsid w:val="00F07CC0"/>
    <w:rsid w:val="00F43F03"/>
    <w:rsid w:val="00F54A63"/>
    <w:rsid w:val="00FC1400"/>
    <w:rsid w:val="00FC5D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3">
    <w:name w:val="heading 3"/>
    <w:basedOn w:val="Normal"/>
    <w:link w:val="Heading3Char"/>
    <w:uiPriority w:val="9"/>
    <w:qFormat/>
    <w:rsid w:val="000E7B57"/>
    <w:pPr>
      <w:spacing w:before="100" w:beforeAutospacing="1" w:after="100" w:afterAutospacing="1" w:line="240" w:lineRule="auto"/>
      <w:outlineLvl w:val="2"/>
    </w:pPr>
    <w:rPr>
      <w:rFonts w:ascii="Times New Roman" w:eastAsia="Times New Roman" w:hAnsi="Times New Roman" w:cs="Times New Roman"/>
      <w:b/>
      <w:bCs/>
      <w:sz w:val="38"/>
      <w:szCs w:val="38"/>
    </w:rPr>
  </w:style>
  <w:style w:type="paragraph" w:styleId="Heading4">
    <w:name w:val="heading 4"/>
    <w:basedOn w:val="Normal"/>
    <w:link w:val="Heading4Char"/>
    <w:uiPriority w:val="9"/>
    <w:qFormat/>
    <w:rsid w:val="000E7B57"/>
    <w:pPr>
      <w:spacing w:before="100" w:beforeAutospacing="1" w:after="100" w:afterAutospacing="1" w:line="240" w:lineRule="auto"/>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0E7B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E5"/>
    <w:pPr>
      <w:ind w:left="720"/>
      <w:contextualSpacing/>
    </w:pPr>
  </w:style>
  <w:style w:type="paragraph" w:customStyle="1" w:styleId="Default">
    <w:name w:val="Default"/>
    <w:rsid w:val="00C45F2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E7B57"/>
    <w:rPr>
      <w:rFonts w:ascii="Times New Roman" w:eastAsia="Times New Roman" w:hAnsi="Times New Roman" w:cs="Times New Roman"/>
      <w:b/>
      <w:bCs/>
      <w:sz w:val="38"/>
      <w:szCs w:val="38"/>
    </w:rPr>
  </w:style>
  <w:style w:type="character" w:customStyle="1" w:styleId="Heading4Char">
    <w:name w:val="Heading 4 Char"/>
    <w:basedOn w:val="DefaultParagraphFont"/>
    <w:link w:val="Heading4"/>
    <w:uiPriority w:val="9"/>
    <w:rsid w:val="000E7B5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0E7B5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7B57"/>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0E7B57"/>
    <w:rPr>
      <w:b/>
      <w:bCs/>
    </w:rPr>
  </w:style>
  <w:style w:type="character" w:customStyle="1" w:styleId="contentmeta">
    <w:name w:val="contentmeta"/>
    <w:basedOn w:val="DefaultParagraphFont"/>
    <w:rsid w:val="000E7B57"/>
  </w:style>
  <w:style w:type="paragraph" w:styleId="Header">
    <w:name w:val="header"/>
    <w:basedOn w:val="Normal"/>
    <w:link w:val="HeaderChar"/>
    <w:uiPriority w:val="99"/>
    <w:unhideWhenUsed/>
    <w:rsid w:val="00EF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198"/>
    <w:rPr>
      <w:rFonts w:ascii="Arial" w:hAnsi="Arial" w:cs="Arial"/>
      <w:sz w:val="24"/>
      <w:szCs w:val="24"/>
    </w:rPr>
  </w:style>
  <w:style w:type="paragraph" w:styleId="Footer">
    <w:name w:val="footer"/>
    <w:basedOn w:val="Normal"/>
    <w:link w:val="FooterChar"/>
    <w:uiPriority w:val="99"/>
    <w:unhideWhenUsed/>
    <w:rsid w:val="00EF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198"/>
    <w:rPr>
      <w:rFonts w:ascii="Arial" w:hAnsi="Arial" w:cs="Arial"/>
      <w:sz w:val="24"/>
      <w:szCs w:val="24"/>
    </w:rPr>
  </w:style>
  <w:style w:type="paragraph" w:styleId="BalloonText">
    <w:name w:val="Balloon Text"/>
    <w:basedOn w:val="Normal"/>
    <w:link w:val="BalloonTextChar"/>
    <w:uiPriority w:val="99"/>
    <w:semiHidden/>
    <w:unhideWhenUsed/>
    <w:rsid w:val="00EF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3">
    <w:name w:val="heading 3"/>
    <w:basedOn w:val="Normal"/>
    <w:link w:val="Heading3Char"/>
    <w:uiPriority w:val="9"/>
    <w:qFormat/>
    <w:rsid w:val="000E7B57"/>
    <w:pPr>
      <w:spacing w:before="100" w:beforeAutospacing="1" w:after="100" w:afterAutospacing="1" w:line="240" w:lineRule="auto"/>
      <w:outlineLvl w:val="2"/>
    </w:pPr>
    <w:rPr>
      <w:rFonts w:ascii="Times New Roman" w:eastAsia="Times New Roman" w:hAnsi="Times New Roman" w:cs="Times New Roman"/>
      <w:b/>
      <w:bCs/>
      <w:sz w:val="38"/>
      <w:szCs w:val="38"/>
    </w:rPr>
  </w:style>
  <w:style w:type="paragraph" w:styleId="Heading4">
    <w:name w:val="heading 4"/>
    <w:basedOn w:val="Normal"/>
    <w:link w:val="Heading4Char"/>
    <w:uiPriority w:val="9"/>
    <w:qFormat/>
    <w:rsid w:val="000E7B57"/>
    <w:pPr>
      <w:spacing w:before="100" w:beforeAutospacing="1" w:after="100" w:afterAutospacing="1" w:line="240" w:lineRule="auto"/>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0E7B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E5"/>
    <w:pPr>
      <w:ind w:left="720"/>
      <w:contextualSpacing/>
    </w:pPr>
  </w:style>
  <w:style w:type="paragraph" w:customStyle="1" w:styleId="Default">
    <w:name w:val="Default"/>
    <w:rsid w:val="00C45F2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E7B57"/>
    <w:rPr>
      <w:rFonts w:ascii="Times New Roman" w:eastAsia="Times New Roman" w:hAnsi="Times New Roman" w:cs="Times New Roman"/>
      <w:b/>
      <w:bCs/>
      <w:sz w:val="38"/>
      <w:szCs w:val="38"/>
    </w:rPr>
  </w:style>
  <w:style w:type="character" w:customStyle="1" w:styleId="Heading4Char">
    <w:name w:val="Heading 4 Char"/>
    <w:basedOn w:val="DefaultParagraphFont"/>
    <w:link w:val="Heading4"/>
    <w:uiPriority w:val="9"/>
    <w:rsid w:val="000E7B5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0E7B5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7B57"/>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0E7B57"/>
    <w:rPr>
      <w:b/>
      <w:bCs/>
    </w:rPr>
  </w:style>
  <w:style w:type="character" w:customStyle="1" w:styleId="contentmeta">
    <w:name w:val="contentmeta"/>
    <w:basedOn w:val="DefaultParagraphFont"/>
    <w:rsid w:val="000E7B57"/>
  </w:style>
  <w:style w:type="paragraph" w:styleId="Header">
    <w:name w:val="header"/>
    <w:basedOn w:val="Normal"/>
    <w:link w:val="HeaderChar"/>
    <w:uiPriority w:val="99"/>
    <w:unhideWhenUsed/>
    <w:rsid w:val="00EF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198"/>
    <w:rPr>
      <w:rFonts w:ascii="Arial" w:hAnsi="Arial" w:cs="Arial"/>
      <w:sz w:val="24"/>
      <w:szCs w:val="24"/>
    </w:rPr>
  </w:style>
  <w:style w:type="paragraph" w:styleId="Footer">
    <w:name w:val="footer"/>
    <w:basedOn w:val="Normal"/>
    <w:link w:val="FooterChar"/>
    <w:uiPriority w:val="99"/>
    <w:unhideWhenUsed/>
    <w:rsid w:val="00EF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198"/>
    <w:rPr>
      <w:rFonts w:ascii="Arial" w:hAnsi="Arial" w:cs="Arial"/>
      <w:sz w:val="24"/>
      <w:szCs w:val="24"/>
    </w:rPr>
  </w:style>
  <w:style w:type="paragraph" w:styleId="BalloonText">
    <w:name w:val="Balloon Text"/>
    <w:basedOn w:val="Normal"/>
    <w:link w:val="BalloonTextChar"/>
    <w:uiPriority w:val="99"/>
    <w:semiHidden/>
    <w:unhideWhenUsed/>
    <w:rsid w:val="00EF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1412">
      <w:bodyDiv w:val="1"/>
      <w:marLeft w:val="0"/>
      <w:marRight w:val="0"/>
      <w:marTop w:val="0"/>
      <w:marBottom w:val="0"/>
      <w:divBdr>
        <w:top w:val="none" w:sz="0" w:space="0" w:color="auto"/>
        <w:left w:val="none" w:sz="0" w:space="0" w:color="auto"/>
        <w:bottom w:val="none" w:sz="0" w:space="0" w:color="auto"/>
        <w:right w:val="none" w:sz="0" w:space="0" w:color="auto"/>
      </w:divBdr>
      <w:divsChild>
        <w:div w:id="789517708">
          <w:marLeft w:val="0"/>
          <w:marRight w:val="0"/>
          <w:marTop w:val="0"/>
          <w:marBottom w:val="240"/>
          <w:divBdr>
            <w:top w:val="none" w:sz="0" w:space="0" w:color="auto"/>
            <w:left w:val="none" w:sz="0" w:space="0" w:color="auto"/>
            <w:bottom w:val="none" w:sz="0" w:space="0" w:color="auto"/>
            <w:right w:val="none" w:sz="0" w:space="0" w:color="auto"/>
          </w:divBdr>
        </w:div>
      </w:divsChild>
    </w:div>
    <w:div w:id="1324701525">
      <w:bodyDiv w:val="1"/>
      <w:marLeft w:val="0"/>
      <w:marRight w:val="0"/>
      <w:marTop w:val="0"/>
      <w:marBottom w:val="0"/>
      <w:divBdr>
        <w:top w:val="none" w:sz="0" w:space="0" w:color="auto"/>
        <w:left w:val="none" w:sz="0" w:space="0" w:color="auto"/>
        <w:bottom w:val="none" w:sz="0" w:space="0" w:color="auto"/>
        <w:right w:val="none" w:sz="0" w:space="0" w:color="auto"/>
      </w:divBdr>
      <w:divsChild>
        <w:div w:id="288782109">
          <w:marLeft w:val="0"/>
          <w:marRight w:val="0"/>
          <w:marTop w:val="0"/>
          <w:marBottom w:val="0"/>
          <w:divBdr>
            <w:top w:val="none" w:sz="0" w:space="0" w:color="auto"/>
            <w:left w:val="none" w:sz="0" w:space="0" w:color="auto"/>
            <w:bottom w:val="none" w:sz="0" w:space="0" w:color="auto"/>
            <w:right w:val="none" w:sz="0" w:space="0" w:color="auto"/>
          </w:divBdr>
          <w:divsChild>
            <w:div w:id="452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2012-12-05T13:54:00Z</dcterms:created>
  <dcterms:modified xsi:type="dcterms:W3CDTF">2012-12-05T13:54:00Z</dcterms:modified>
</cp:coreProperties>
</file>