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3C" w:rsidRDefault="00F50932" w:rsidP="00A975B9">
      <w:pPr>
        <w:spacing w:after="0" w:line="240" w:lineRule="auto"/>
      </w:pPr>
      <w:bookmarkStart w:id="0" w:name="_GoBack"/>
      <w:bookmarkEnd w:id="0"/>
      <w:r>
        <w:t>ANNEX 1</w:t>
      </w:r>
    </w:p>
    <w:p w:rsidR="00F50932" w:rsidRDefault="00F50932" w:rsidP="00A975B9">
      <w:pPr>
        <w:spacing w:after="0" w:line="240" w:lineRule="auto"/>
        <w:rPr>
          <w:b/>
          <w:bCs/>
        </w:rPr>
      </w:pPr>
    </w:p>
    <w:p w:rsidR="004A7FE5" w:rsidRDefault="00F50932" w:rsidP="00A975B9">
      <w:pPr>
        <w:spacing w:after="0" w:line="240" w:lineRule="auto"/>
        <w:rPr>
          <w:b/>
          <w:bCs/>
        </w:rPr>
      </w:pPr>
      <w:r>
        <w:rPr>
          <w:b/>
          <w:bCs/>
        </w:rPr>
        <w:t xml:space="preserve">Draft </w:t>
      </w:r>
      <w:r w:rsidR="004A7FE5" w:rsidRPr="004A7FE5">
        <w:rPr>
          <w:b/>
          <w:bCs/>
        </w:rPr>
        <w:t>Code of Practice on Plagiarism Detection</w:t>
      </w:r>
    </w:p>
    <w:p w:rsidR="00A975B9" w:rsidRDefault="00A975B9" w:rsidP="00A975B9">
      <w:pPr>
        <w:spacing w:after="0" w:line="240" w:lineRule="auto"/>
        <w:rPr>
          <w:b/>
          <w:bCs/>
          <w:sz w:val="22"/>
          <w:szCs w:val="22"/>
        </w:rPr>
      </w:pPr>
    </w:p>
    <w:p w:rsidR="00A975B9" w:rsidRPr="000D61BE" w:rsidRDefault="004A7FE5" w:rsidP="00A975B9">
      <w:pPr>
        <w:spacing w:after="0" w:line="240" w:lineRule="auto"/>
        <w:rPr>
          <w:b/>
          <w:bCs/>
          <w:sz w:val="22"/>
          <w:szCs w:val="22"/>
        </w:rPr>
      </w:pPr>
      <w:r w:rsidRPr="000D61BE">
        <w:rPr>
          <w:b/>
          <w:bCs/>
          <w:sz w:val="22"/>
          <w:szCs w:val="22"/>
        </w:rPr>
        <w:t>1. Introduction</w:t>
      </w:r>
    </w:p>
    <w:p w:rsidR="00A975B9" w:rsidRPr="000D61BE" w:rsidRDefault="00A975B9" w:rsidP="00A975B9">
      <w:pPr>
        <w:spacing w:after="0" w:line="240" w:lineRule="auto"/>
        <w:rPr>
          <w:sz w:val="22"/>
          <w:szCs w:val="22"/>
        </w:rPr>
      </w:pPr>
    </w:p>
    <w:p w:rsidR="00A975B9" w:rsidRPr="000D61BE" w:rsidRDefault="00A975B9" w:rsidP="00A975B9">
      <w:pPr>
        <w:spacing w:after="0" w:line="240" w:lineRule="auto"/>
        <w:rPr>
          <w:b/>
          <w:bCs/>
          <w:sz w:val="22"/>
          <w:szCs w:val="22"/>
        </w:rPr>
      </w:pPr>
      <w:r w:rsidRPr="000D61BE">
        <w:rPr>
          <w:sz w:val="22"/>
          <w:szCs w:val="22"/>
        </w:rPr>
        <w:t>T</w:t>
      </w:r>
      <w:r w:rsidR="003D09DA" w:rsidRPr="000D61BE">
        <w:rPr>
          <w:sz w:val="22"/>
          <w:szCs w:val="22"/>
        </w:rPr>
        <w:t xml:space="preserve">his Code of Practice </w:t>
      </w:r>
      <w:r w:rsidRPr="000D61BE">
        <w:rPr>
          <w:sz w:val="22"/>
          <w:szCs w:val="22"/>
        </w:rPr>
        <w:t xml:space="preserve">is intended </w:t>
      </w:r>
      <w:r w:rsidRPr="000D61BE">
        <w:rPr>
          <w:bCs/>
          <w:color w:val="000000"/>
          <w:sz w:val="22"/>
          <w:szCs w:val="22"/>
        </w:rPr>
        <w:t xml:space="preserve">to ensure consistency of practice in relation to plagiarism detection, while allowing some flexibility to take account of legitimate subject-related variations in local practice. </w:t>
      </w:r>
    </w:p>
    <w:p w:rsidR="00A975B9" w:rsidRDefault="00A975B9" w:rsidP="00A975B9">
      <w:pPr>
        <w:spacing w:after="0" w:line="240" w:lineRule="auto"/>
        <w:rPr>
          <w:sz w:val="22"/>
          <w:szCs w:val="22"/>
        </w:rPr>
      </w:pPr>
    </w:p>
    <w:p w:rsidR="007B7DDD" w:rsidRPr="007B7DDD" w:rsidRDefault="007B7DDD" w:rsidP="00A975B9">
      <w:pPr>
        <w:spacing w:after="0" w:line="240" w:lineRule="auto"/>
        <w:rPr>
          <w:b/>
          <w:bCs/>
          <w:sz w:val="22"/>
          <w:szCs w:val="22"/>
        </w:rPr>
      </w:pPr>
      <w:r w:rsidRPr="007B7DDD">
        <w:rPr>
          <w:b/>
          <w:bCs/>
          <w:sz w:val="22"/>
          <w:szCs w:val="22"/>
        </w:rPr>
        <w:t>2. Definitions</w:t>
      </w:r>
    </w:p>
    <w:p w:rsidR="007B7DDD" w:rsidRPr="007B7DDD" w:rsidRDefault="007B7DDD" w:rsidP="00A975B9">
      <w:pPr>
        <w:spacing w:after="0" w:line="240" w:lineRule="auto"/>
        <w:rPr>
          <w:bCs/>
          <w:color w:val="000000"/>
          <w:sz w:val="22"/>
          <w:szCs w:val="22"/>
        </w:rPr>
      </w:pPr>
    </w:p>
    <w:p w:rsidR="007B7DDD" w:rsidRPr="007B7DDD" w:rsidRDefault="007B7DDD" w:rsidP="00A975B9">
      <w:pPr>
        <w:spacing w:after="0" w:line="240" w:lineRule="auto"/>
        <w:rPr>
          <w:bCs/>
          <w:color w:val="000000"/>
          <w:sz w:val="22"/>
          <w:szCs w:val="22"/>
        </w:rPr>
      </w:pPr>
      <w:r w:rsidRPr="007B7DDD">
        <w:rPr>
          <w:bCs/>
          <w:color w:val="000000"/>
          <w:sz w:val="22"/>
          <w:szCs w:val="22"/>
        </w:rPr>
        <w:t>2.1 Plagiarism is defined in paragraph 2 of University Regulation XVIII as “submitting work as the candidate's own of which the candidate is not the author.  This includes failure to acknowledge clearly and explicitly the ideas, words or work of another person whether these are published or unpublished.”</w:t>
      </w:r>
    </w:p>
    <w:p w:rsidR="007B7DDD" w:rsidRPr="007B7DDD" w:rsidRDefault="007B7DDD" w:rsidP="00A975B9">
      <w:pPr>
        <w:spacing w:after="0" w:line="240" w:lineRule="auto"/>
        <w:rPr>
          <w:bCs/>
          <w:color w:val="000000"/>
          <w:sz w:val="22"/>
          <w:szCs w:val="22"/>
        </w:rPr>
      </w:pPr>
    </w:p>
    <w:p w:rsidR="007B7DDD" w:rsidRDefault="007B7DDD" w:rsidP="007B7DDD">
      <w:pPr>
        <w:spacing w:after="0" w:line="240" w:lineRule="auto"/>
        <w:rPr>
          <w:bCs/>
          <w:color w:val="000000"/>
          <w:sz w:val="22"/>
          <w:szCs w:val="22"/>
        </w:rPr>
      </w:pPr>
      <w:r w:rsidRPr="007B7DDD">
        <w:rPr>
          <w:bCs/>
          <w:color w:val="000000"/>
          <w:sz w:val="22"/>
          <w:szCs w:val="22"/>
        </w:rPr>
        <w:t xml:space="preserve">2.2 </w:t>
      </w:r>
      <w:r w:rsidR="00CB3623">
        <w:rPr>
          <w:bCs/>
          <w:color w:val="000000"/>
          <w:sz w:val="22"/>
          <w:szCs w:val="22"/>
        </w:rPr>
        <w:t>A</w:t>
      </w:r>
      <w:r>
        <w:rPr>
          <w:bCs/>
          <w:color w:val="000000"/>
          <w:sz w:val="22"/>
          <w:szCs w:val="22"/>
        </w:rPr>
        <w:t>cademic misconduct in paragraph 2 of Regulation XIV also includes:</w:t>
      </w:r>
    </w:p>
    <w:p w:rsidR="007B7DDD" w:rsidRDefault="007B7DDD" w:rsidP="007B7DDD">
      <w:pPr>
        <w:spacing w:after="0" w:line="240" w:lineRule="auto"/>
        <w:rPr>
          <w:bCs/>
          <w:color w:val="000000"/>
          <w:sz w:val="22"/>
          <w:szCs w:val="22"/>
        </w:rPr>
      </w:pPr>
    </w:p>
    <w:p w:rsidR="007B7DDD" w:rsidRPr="007B7DDD" w:rsidRDefault="007B7DDD" w:rsidP="007B7DDD">
      <w:pPr>
        <w:numPr>
          <w:ilvl w:val="0"/>
          <w:numId w:val="8"/>
        </w:numPr>
        <w:spacing w:after="0" w:line="240" w:lineRule="auto"/>
        <w:rPr>
          <w:bCs/>
          <w:color w:val="000000"/>
          <w:sz w:val="22"/>
          <w:szCs w:val="22"/>
        </w:rPr>
      </w:pPr>
      <w:r w:rsidRPr="007B7DDD">
        <w:rPr>
          <w:bCs/>
          <w:color w:val="000000"/>
          <w:sz w:val="22"/>
          <w:szCs w:val="22"/>
        </w:rPr>
        <w:t xml:space="preserve">Assisting another candidate to gain an advantage by unfair means, or receiving such assistance, for example by impersonation or the passing off of one individual's work as another's.  This includes undeclared failure to contribute to group coursework assignments. </w:t>
      </w:r>
    </w:p>
    <w:p w:rsidR="007B7DDD" w:rsidRPr="007B7DDD" w:rsidRDefault="007B7DDD" w:rsidP="007B7DDD">
      <w:pPr>
        <w:numPr>
          <w:ilvl w:val="0"/>
          <w:numId w:val="8"/>
        </w:numPr>
        <w:spacing w:after="0" w:line="240" w:lineRule="auto"/>
        <w:rPr>
          <w:bCs/>
          <w:color w:val="000000"/>
          <w:sz w:val="22"/>
          <w:szCs w:val="22"/>
        </w:rPr>
      </w:pPr>
      <w:r w:rsidRPr="007B7DDD">
        <w:rPr>
          <w:bCs/>
          <w:color w:val="000000"/>
          <w:sz w:val="22"/>
          <w:szCs w:val="22"/>
        </w:rPr>
        <w:t>Misleading the examiners by the fabrication or falsification of data.</w:t>
      </w:r>
    </w:p>
    <w:p w:rsidR="007B7DDD" w:rsidRPr="007B7DDD" w:rsidRDefault="007B7DDD" w:rsidP="007B7DDD">
      <w:pPr>
        <w:numPr>
          <w:ilvl w:val="0"/>
          <w:numId w:val="8"/>
        </w:numPr>
        <w:spacing w:after="0" w:line="240" w:lineRule="auto"/>
        <w:rPr>
          <w:bCs/>
          <w:color w:val="000000"/>
          <w:sz w:val="22"/>
          <w:szCs w:val="22"/>
        </w:rPr>
      </w:pPr>
      <w:r w:rsidRPr="007B7DDD">
        <w:rPr>
          <w:bCs/>
          <w:color w:val="000000"/>
          <w:sz w:val="22"/>
          <w:szCs w:val="22"/>
        </w:rPr>
        <w:t>Engaging in any other activity likely to give an unfair advantage to any candidate.</w:t>
      </w:r>
    </w:p>
    <w:p w:rsidR="007B7DDD" w:rsidRDefault="007B7DDD" w:rsidP="007B7DDD">
      <w:pPr>
        <w:spacing w:after="0" w:line="240" w:lineRule="auto"/>
        <w:rPr>
          <w:bCs/>
          <w:color w:val="000000"/>
          <w:sz w:val="22"/>
          <w:szCs w:val="22"/>
        </w:rPr>
      </w:pPr>
    </w:p>
    <w:p w:rsidR="00C45F25" w:rsidRPr="00C45F25" w:rsidRDefault="00C45F25" w:rsidP="007B7DDD">
      <w:pPr>
        <w:spacing w:after="0" w:line="240" w:lineRule="auto"/>
        <w:rPr>
          <w:b/>
          <w:color w:val="000000"/>
          <w:sz w:val="22"/>
          <w:szCs w:val="22"/>
        </w:rPr>
      </w:pPr>
      <w:r w:rsidRPr="00C45F25">
        <w:rPr>
          <w:b/>
          <w:color w:val="000000"/>
          <w:sz w:val="22"/>
          <w:szCs w:val="22"/>
        </w:rPr>
        <w:t>3. Guidance</w:t>
      </w:r>
    </w:p>
    <w:p w:rsidR="00C45F25" w:rsidRDefault="00C45F25" w:rsidP="007B7DDD">
      <w:pPr>
        <w:spacing w:after="0" w:line="240" w:lineRule="auto"/>
        <w:rPr>
          <w:bCs/>
          <w:color w:val="000000"/>
          <w:sz w:val="22"/>
          <w:szCs w:val="22"/>
        </w:rPr>
      </w:pPr>
    </w:p>
    <w:p w:rsidR="00931FDC" w:rsidRPr="00931FDC" w:rsidRDefault="00C45F25" w:rsidP="00931FDC">
      <w:pPr>
        <w:pStyle w:val="Default"/>
        <w:rPr>
          <w:sz w:val="22"/>
          <w:szCs w:val="22"/>
        </w:rPr>
      </w:pPr>
      <w:r w:rsidRPr="00931FDC">
        <w:rPr>
          <w:sz w:val="22"/>
          <w:szCs w:val="22"/>
        </w:rPr>
        <w:t>3.1 Schools/Departments should distribute written guidance to students in programme materials and through other media as appropriate,</w:t>
      </w:r>
      <w:r w:rsidR="00931FDC" w:rsidRPr="00931FDC">
        <w:rPr>
          <w:sz w:val="22"/>
          <w:szCs w:val="22"/>
        </w:rPr>
        <w:t xml:space="preserve"> within a subject-specific context,</w:t>
      </w:r>
      <w:r w:rsidRPr="00931FDC">
        <w:rPr>
          <w:sz w:val="22"/>
          <w:szCs w:val="22"/>
        </w:rPr>
        <w:t xml:space="preserve"> </w:t>
      </w:r>
      <w:r w:rsidR="00931FDC" w:rsidRPr="00931FDC">
        <w:rPr>
          <w:sz w:val="22"/>
          <w:szCs w:val="22"/>
        </w:rPr>
        <w:t xml:space="preserve">about correct </w:t>
      </w:r>
      <w:r w:rsidRPr="00931FDC">
        <w:rPr>
          <w:sz w:val="22"/>
          <w:szCs w:val="22"/>
        </w:rPr>
        <w:t>referencing</w:t>
      </w:r>
      <w:r w:rsidR="00931FDC" w:rsidRPr="00931FDC">
        <w:rPr>
          <w:sz w:val="22"/>
          <w:szCs w:val="22"/>
        </w:rPr>
        <w:t xml:space="preserve"> techniques (of both printed and web-based material), plagiarism avoidance, and how to distinguish between acceptable collaboration and unacceptable collusion.</w:t>
      </w:r>
      <w:r w:rsidR="00931FDC">
        <w:rPr>
          <w:sz w:val="22"/>
          <w:szCs w:val="22"/>
        </w:rPr>
        <w:t xml:space="preserve"> This guidance should be included in induction materials, and </w:t>
      </w:r>
      <w:r w:rsidR="00931FDC" w:rsidRPr="00931FDC">
        <w:rPr>
          <w:sz w:val="22"/>
          <w:szCs w:val="22"/>
        </w:rPr>
        <w:t>'top-up' training provided at appropriate times.</w:t>
      </w:r>
    </w:p>
    <w:p w:rsidR="00931FDC" w:rsidRDefault="00931FDC" w:rsidP="00931FDC">
      <w:pPr>
        <w:pStyle w:val="Default"/>
        <w:rPr>
          <w:sz w:val="22"/>
          <w:szCs w:val="22"/>
        </w:rPr>
      </w:pPr>
    </w:p>
    <w:p w:rsidR="00C45F25" w:rsidRDefault="00C45F25" w:rsidP="002A1E1B">
      <w:pPr>
        <w:spacing w:after="0" w:line="240" w:lineRule="auto"/>
        <w:rPr>
          <w:bCs/>
          <w:color w:val="000000"/>
          <w:sz w:val="22"/>
          <w:szCs w:val="22"/>
        </w:rPr>
      </w:pPr>
      <w:r>
        <w:rPr>
          <w:bCs/>
          <w:color w:val="000000"/>
          <w:sz w:val="22"/>
          <w:szCs w:val="22"/>
        </w:rPr>
        <w:t>3.2</w:t>
      </w:r>
      <w:r w:rsidRPr="00942CFF">
        <w:rPr>
          <w:bCs/>
          <w:color w:val="000000"/>
          <w:sz w:val="22"/>
          <w:szCs w:val="22"/>
        </w:rPr>
        <w:t xml:space="preserve"> Schools/</w:t>
      </w:r>
      <w:r w:rsidR="00F04E7D">
        <w:rPr>
          <w:bCs/>
          <w:color w:val="000000"/>
          <w:sz w:val="22"/>
          <w:szCs w:val="22"/>
        </w:rPr>
        <w:t>Departments should be expected</w:t>
      </w:r>
      <w:r w:rsidRPr="00942CFF">
        <w:rPr>
          <w:bCs/>
          <w:color w:val="000000"/>
          <w:sz w:val="22"/>
          <w:szCs w:val="22"/>
        </w:rPr>
        <w:t xml:space="preserve"> to find ways of embedding guidance and support for good referencing and plagiarism avoidance within the curriculum of all programmes (in partnership with, and making full use of the library and other support services)</w:t>
      </w:r>
      <w:r>
        <w:rPr>
          <w:bCs/>
          <w:color w:val="000000"/>
          <w:sz w:val="22"/>
          <w:szCs w:val="22"/>
        </w:rPr>
        <w:t xml:space="preserve"> to ensure that all students a</w:t>
      </w:r>
      <w:r w:rsidRPr="00942CFF">
        <w:rPr>
          <w:bCs/>
          <w:color w:val="000000"/>
          <w:sz w:val="22"/>
          <w:szCs w:val="22"/>
        </w:rPr>
        <w:t xml:space="preserve">re aware of, and fully engaged with the issues involved. </w:t>
      </w:r>
      <w:r>
        <w:rPr>
          <w:bCs/>
          <w:color w:val="000000"/>
          <w:sz w:val="22"/>
          <w:szCs w:val="22"/>
        </w:rPr>
        <w:t>This can</w:t>
      </w:r>
      <w:r w:rsidRPr="00942CFF">
        <w:rPr>
          <w:bCs/>
          <w:color w:val="000000"/>
          <w:sz w:val="22"/>
          <w:szCs w:val="22"/>
        </w:rPr>
        <w:t xml:space="preserve"> be done in a number of ways, for example as part of one or more core modules (either subject specific or skills-based), or as</w:t>
      </w:r>
      <w:r w:rsidR="002A1E1B">
        <w:rPr>
          <w:bCs/>
          <w:color w:val="000000"/>
          <w:sz w:val="22"/>
          <w:szCs w:val="22"/>
        </w:rPr>
        <w:t xml:space="preserve"> part of schemes similar to the </w:t>
      </w:r>
      <w:r w:rsidR="002A1E1B">
        <w:rPr>
          <w:sz w:val="22"/>
          <w:szCs w:val="22"/>
        </w:rPr>
        <w:t>Information Literacy Skills and Plagiarism Avoidance initiative</w:t>
      </w:r>
      <w:r w:rsidRPr="00942CFF">
        <w:rPr>
          <w:bCs/>
          <w:color w:val="000000"/>
          <w:sz w:val="22"/>
          <w:szCs w:val="22"/>
        </w:rPr>
        <w:t xml:space="preserve"> </w:t>
      </w:r>
      <w:r w:rsidR="002A1E1B">
        <w:rPr>
          <w:bCs/>
          <w:color w:val="000000"/>
          <w:sz w:val="22"/>
          <w:szCs w:val="22"/>
        </w:rPr>
        <w:t>in</w:t>
      </w:r>
      <w:r>
        <w:rPr>
          <w:bCs/>
          <w:color w:val="000000"/>
          <w:sz w:val="22"/>
          <w:szCs w:val="22"/>
        </w:rPr>
        <w:t xml:space="preserve"> English and Drama, </w:t>
      </w:r>
      <w:r w:rsidRPr="00942CFF">
        <w:rPr>
          <w:bCs/>
          <w:color w:val="000000"/>
          <w:sz w:val="22"/>
          <w:szCs w:val="22"/>
        </w:rPr>
        <w:t>delivered at an early stage of programmes, before other coursework is set. In relation to joint programmes and programmes incorporating service-taught modules, close communication between the Schools/Departments involved is important, to ensure consistency in the guidance and support given to students.</w:t>
      </w:r>
    </w:p>
    <w:p w:rsidR="00864832" w:rsidRPr="00942CFF" w:rsidRDefault="00864832" w:rsidP="002E5489">
      <w:pPr>
        <w:spacing w:after="0" w:line="240" w:lineRule="auto"/>
        <w:rPr>
          <w:bCs/>
          <w:color w:val="000000"/>
          <w:sz w:val="22"/>
          <w:szCs w:val="22"/>
        </w:rPr>
      </w:pPr>
    </w:p>
    <w:p w:rsidR="00C45F25" w:rsidRPr="00C33B16" w:rsidRDefault="00290B76" w:rsidP="002A1E1B">
      <w:pPr>
        <w:spacing w:after="0" w:line="240" w:lineRule="auto"/>
        <w:rPr>
          <w:bCs/>
          <w:color w:val="000000"/>
          <w:sz w:val="22"/>
          <w:szCs w:val="22"/>
        </w:rPr>
      </w:pPr>
      <w:r>
        <w:rPr>
          <w:bCs/>
          <w:color w:val="000000"/>
          <w:sz w:val="22"/>
          <w:szCs w:val="22"/>
        </w:rPr>
        <w:t>3.3</w:t>
      </w:r>
      <w:r w:rsidR="00C45F25" w:rsidRPr="00C33B16">
        <w:rPr>
          <w:bCs/>
          <w:color w:val="000000"/>
          <w:sz w:val="22"/>
          <w:szCs w:val="22"/>
        </w:rPr>
        <w:t xml:space="preserve"> There are specific issues relating to international students and plagiarism, particularly where the culture in students’ previous institutions may have been different in relation to good referencing practice. Support on good referencing and plagiarism avoidance for new UG a</w:t>
      </w:r>
      <w:r w:rsidR="002A1E1B">
        <w:rPr>
          <w:bCs/>
          <w:color w:val="000000"/>
          <w:sz w:val="22"/>
          <w:szCs w:val="22"/>
        </w:rPr>
        <w:t>nd PGT international students should be</w:t>
      </w:r>
      <w:r w:rsidR="00C45F25" w:rsidRPr="00C33B16">
        <w:rPr>
          <w:bCs/>
          <w:color w:val="000000"/>
          <w:sz w:val="22"/>
          <w:szCs w:val="22"/>
        </w:rPr>
        <w:t xml:space="preserve"> provided as part of ELSS pre-sessional programmes, </w:t>
      </w:r>
      <w:r w:rsidR="002A1E1B">
        <w:rPr>
          <w:bCs/>
          <w:color w:val="000000"/>
          <w:sz w:val="22"/>
          <w:szCs w:val="22"/>
        </w:rPr>
        <w:t>and reinforced</w:t>
      </w:r>
      <w:r w:rsidR="00C45F25" w:rsidRPr="00C33B16">
        <w:rPr>
          <w:bCs/>
          <w:color w:val="000000"/>
          <w:sz w:val="22"/>
          <w:szCs w:val="22"/>
        </w:rPr>
        <w:t xml:space="preserve"> with additional central sessions co-ordinated by the library</w:t>
      </w:r>
      <w:r w:rsidR="002A1E1B">
        <w:rPr>
          <w:bCs/>
          <w:color w:val="000000"/>
          <w:sz w:val="22"/>
          <w:szCs w:val="22"/>
        </w:rPr>
        <w:t xml:space="preserve"> [</w:t>
      </w:r>
      <w:r w:rsidR="002A1E1B" w:rsidRPr="00240491">
        <w:rPr>
          <w:b/>
          <w:i/>
          <w:iCs/>
          <w:color w:val="000000"/>
          <w:sz w:val="22"/>
          <w:szCs w:val="22"/>
        </w:rPr>
        <w:t>This additional central provision is a proposal from the Working Group</w:t>
      </w:r>
      <w:r w:rsidR="002A1E1B">
        <w:rPr>
          <w:bCs/>
          <w:i/>
          <w:iCs/>
          <w:color w:val="000000"/>
          <w:sz w:val="22"/>
          <w:szCs w:val="22"/>
        </w:rPr>
        <w:t>]</w:t>
      </w:r>
      <w:r w:rsidR="00C45F25" w:rsidRPr="00C33B16">
        <w:rPr>
          <w:bCs/>
          <w:color w:val="000000"/>
          <w:sz w:val="22"/>
          <w:szCs w:val="22"/>
        </w:rPr>
        <w:t xml:space="preserve">. </w:t>
      </w:r>
    </w:p>
    <w:p w:rsidR="00C45F25" w:rsidRDefault="00C45F25" w:rsidP="007B7DDD">
      <w:pPr>
        <w:spacing w:after="0" w:line="240" w:lineRule="auto"/>
        <w:rPr>
          <w:bCs/>
          <w:color w:val="000000"/>
          <w:sz w:val="22"/>
          <w:szCs w:val="22"/>
        </w:rPr>
      </w:pPr>
    </w:p>
    <w:p w:rsidR="002A1E1B" w:rsidRDefault="002A1E1B" w:rsidP="007B7DDD">
      <w:pPr>
        <w:spacing w:after="0" w:line="240" w:lineRule="auto"/>
        <w:rPr>
          <w:bCs/>
          <w:color w:val="000000"/>
          <w:sz w:val="22"/>
          <w:szCs w:val="22"/>
        </w:rPr>
      </w:pPr>
    </w:p>
    <w:p w:rsidR="004A7FE5" w:rsidRPr="000D61BE" w:rsidRDefault="002E5489" w:rsidP="00831A16">
      <w:pPr>
        <w:spacing w:after="0" w:line="240" w:lineRule="auto"/>
        <w:rPr>
          <w:b/>
          <w:bCs/>
          <w:sz w:val="22"/>
          <w:szCs w:val="22"/>
        </w:rPr>
      </w:pPr>
      <w:r>
        <w:rPr>
          <w:b/>
          <w:bCs/>
          <w:sz w:val="22"/>
          <w:szCs w:val="22"/>
        </w:rPr>
        <w:t>4</w:t>
      </w:r>
      <w:r w:rsidR="00A975B9" w:rsidRPr="000D61BE">
        <w:rPr>
          <w:b/>
          <w:bCs/>
          <w:sz w:val="22"/>
          <w:szCs w:val="22"/>
        </w:rPr>
        <w:t xml:space="preserve">. Plagiarism Detection and the Use of </w:t>
      </w:r>
      <w:r w:rsidR="00831A16" w:rsidRPr="000D61BE">
        <w:rPr>
          <w:b/>
          <w:bCs/>
          <w:sz w:val="22"/>
          <w:szCs w:val="22"/>
        </w:rPr>
        <w:t>Text-Matching</w:t>
      </w:r>
      <w:r w:rsidR="00A975B9" w:rsidRPr="000D61BE">
        <w:rPr>
          <w:b/>
          <w:bCs/>
          <w:sz w:val="22"/>
          <w:szCs w:val="22"/>
        </w:rPr>
        <w:t xml:space="preserve"> Software</w:t>
      </w:r>
    </w:p>
    <w:p w:rsidR="00A975B9" w:rsidRDefault="00A975B9" w:rsidP="00A975B9">
      <w:pPr>
        <w:spacing w:after="0" w:line="240" w:lineRule="auto"/>
        <w:rPr>
          <w:sz w:val="22"/>
          <w:szCs w:val="22"/>
        </w:rPr>
      </w:pPr>
    </w:p>
    <w:p w:rsidR="002E5489" w:rsidRDefault="002E5489" w:rsidP="002E5489">
      <w:pPr>
        <w:pStyle w:val="Default"/>
        <w:rPr>
          <w:sz w:val="22"/>
          <w:szCs w:val="22"/>
        </w:rPr>
      </w:pPr>
      <w:r>
        <w:rPr>
          <w:sz w:val="22"/>
          <w:szCs w:val="22"/>
        </w:rPr>
        <w:t xml:space="preserve">4.1 The University reserves the right to use all legitimate means at its disposal to detect plagiarism. All submitted work will be liable to scrutiny in order to identify plagiarism. </w:t>
      </w:r>
    </w:p>
    <w:p w:rsidR="002E5489" w:rsidRDefault="002E5489" w:rsidP="00A975B9">
      <w:pPr>
        <w:spacing w:after="0" w:line="240" w:lineRule="auto"/>
        <w:rPr>
          <w:sz w:val="22"/>
          <w:szCs w:val="22"/>
        </w:rPr>
      </w:pPr>
    </w:p>
    <w:p w:rsidR="00831A16" w:rsidRPr="003F29E5" w:rsidRDefault="002E5489" w:rsidP="00240491">
      <w:pPr>
        <w:spacing w:after="0" w:line="240" w:lineRule="auto"/>
        <w:rPr>
          <w:sz w:val="22"/>
          <w:szCs w:val="22"/>
        </w:rPr>
      </w:pPr>
      <w:r>
        <w:rPr>
          <w:sz w:val="22"/>
          <w:szCs w:val="22"/>
        </w:rPr>
        <w:t>4.2</w:t>
      </w:r>
      <w:r w:rsidR="00831A16" w:rsidRPr="000D61BE">
        <w:rPr>
          <w:sz w:val="22"/>
          <w:szCs w:val="22"/>
        </w:rPr>
        <w:t xml:space="preserve"> </w:t>
      </w:r>
      <w:r w:rsidR="00E02F7A">
        <w:rPr>
          <w:sz w:val="22"/>
          <w:szCs w:val="22"/>
        </w:rPr>
        <w:t xml:space="preserve">At present, </w:t>
      </w:r>
      <w:r w:rsidR="00831A16" w:rsidRPr="000D61BE">
        <w:rPr>
          <w:sz w:val="22"/>
          <w:szCs w:val="22"/>
        </w:rPr>
        <w:t>Loughborough University</w:t>
      </w:r>
      <w:r w:rsidR="00E02F7A">
        <w:rPr>
          <w:sz w:val="22"/>
          <w:szCs w:val="22"/>
        </w:rPr>
        <w:t>’s preferred provider of</w:t>
      </w:r>
      <w:r w:rsidR="00831A16" w:rsidRPr="000D61BE">
        <w:rPr>
          <w:sz w:val="22"/>
          <w:szCs w:val="22"/>
        </w:rPr>
        <w:t xml:space="preserve"> Text-Matching software </w:t>
      </w:r>
      <w:r w:rsidR="00E02F7A">
        <w:rPr>
          <w:sz w:val="22"/>
          <w:szCs w:val="22"/>
        </w:rPr>
        <w:t>is</w:t>
      </w:r>
      <w:r w:rsidR="00831A16" w:rsidRPr="000D61BE">
        <w:rPr>
          <w:sz w:val="22"/>
          <w:szCs w:val="22"/>
        </w:rPr>
        <w:t xml:space="preserve"> Turnitin</w:t>
      </w:r>
      <w:r w:rsidR="009D7AF7" w:rsidRPr="000D61BE">
        <w:rPr>
          <w:sz w:val="22"/>
          <w:szCs w:val="22"/>
        </w:rPr>
        <w:t xml:space="preserve"> (TII)</w:t>
      </w:r>
      <w:r w:rsidR="00831A16" w:rsidRPr="000D61BE">
        <w:rPr>
          <w:sz w:val="22"/>
          <w:szCs w:val="22"/>
        </w:rPr>
        <w:t xml:space="preserve">. </w:t>
      </w:r>
      <w:r w:rsidR="00831A16" w:rsidRPr="003F29E5">
        <w:rPr>
          <w:sz w:val="22"/>
          <w:szCs w:val="22"/>
        </w:rPr>
        <w:t>However,</w:t>
      </w:r>
      <w:r w:rsidR="003F29E5" w:rsidRPr="003F29E5">
        <w:rPr>
          <w:sz w:val="22"/>
          <w:szCs w:val="22"/>
        </w:rPr>
        <w:t xml:space="preserve"> other software is also used in particular Schools and Departments</w:t>
      </w:r>
      <w:r w:rsidR="005C18E4">
        <w:rPr>
          <w:sz w:val="22"/>
          <w:szCs w:val="22"/>
        </w:rPr>
        <w:t xml:space="preserve"> for specific purposes (e.g. for foreign language texts)</w:t>
      </w:r>
      <w:r w:rsidR="003F29E5" w:rsidRPr="003F29E5">
        <w:rPr>
          <w:sz w:val="22"/>
          <w:szCs w:val="22"/>
        </w:rPr>
        <w:t>, and</w:t>
      </w:r>
      <w:r w:rsidR="009D7AF7" w:rsidRPr="003F29E5">
        <w:rPr>
          <w:sz w:val="22"/>
          <w:szCs w:val="22"/>
        </w:rPr>
        <w:t xml:space="preserve"> it i</w:t>
      </w:r>
      <w:r w:rsidR="00831A16" w:rsidRPr="003F29E5">
        <w:rPr>
          <w:sz w:val="22"/>
          <w:szCs w:val="22"/>
        </w:rPr>
        <w:t xml:space="preserve">s </w:t>
      </w:r>
      <w:r w:rsidR="009D7AF7" w:rsidRPr="003F29E5">
        <w:rPr>
          <w:sz w:val="22"/>
          <w:szCs w:val="22"/>
        </w:rPr>
        <w:t xml:space="preserve">possible that </w:t>
      </w:r>
      <w:r w:rsidR="003F29E5">
        <w:rPr>
          <w:sz w:val="22"/>
          <w:szCs w:val="22"/>
        </w:rPr>
        <w:t>alternative providers</w:t>
      </w:r>
      <w:r w:rsidR="009D7AF7" w:rsidRPr="003F29E5">
        <w:rPr>
          <w:sz w:val="22"/>
          <w:szCs w:val="22"/>
        </w:rPr>
        <w:t xml:space="preserve"> will be used in the</w:t>
      </w:r>
      <w:r w:rsidR="003F29E5">
        <w:rPr>
          <w:sz w:val="22"/>
          <w:szCs w:val="22"/>
        </w:rPr>
        <w:t xml:space="preserve"> future. T</w:t>
      </w:r>
      <w:r w:rsidR="001A1826" w:rsidRPr="003F29E5">
        <w:rPr>
          <w:sz w:val="22"/>
          <w:szCs w:val="22"/>
        </w:rPr>
        <w:t>he generic term “Text-M</w:t>
      </w:r>
      <w:r w:rsidR="009D7AF7" w:rsidRPr="003F29E5">
        <w:rPr>
          <w:sz w:val="22"/>
          <w:szCs w:val="22"/>
        </w:rPr>
        <w:t>atching software”</w:t>
      </w:r>
      <w:r w:rsidR="00831A16" w:rsidRPr="003F29E5">
        <w:rPr>
          <w:sz w:val="22"/>
          <w:szCs w:val="22"/>
        </w:rPr>
        <w:t xml:space="preserve"> should </w:t>
      </w:r>
      <w:r w:rsidR="00E02F7A" w:rsidRPr="003F29E5">
        <w:rPr>
          <w:sz w:val="22"/>
          <w:szCs w:val="22"/>
        </w:rPr>
        <w:t xml:space="preserve">therefore </w:t>
      </w:r>
      <w:r w:rsidR="009D7AF7" w:rsidRPr="003F29E5">
        <w:rPr>
          <w:sz w:val="22"/>
          <w:szCs w:val="22"/>
        </w:rPr>
        <w:t>be used in documentation</w:t>
      </w:r>
      <w:r w:rsidR="00E02F7A" w:rsidRPr="003F29E5">
        <w:rPr>
          <w:sz w:val="22"/>
          <w:szCs w:val="22"/>
        </w:rPr>
        <w:t xml:space="preserve"> relating to plagiarism detection</w:t>
      </w:r>
      <w:r w:rsidR="00831A16" w:rsidRPr="003F29E5">
        <w:rPr>
          <w:sz w:val="22"/>
          <w:szCs w:val="22"/>
        </w:rPr>
        <w:t xml:space="preserve">. </w:t>
      </w:r>
    </w:p>
    <w:p w:rsidR="00831A16" w:rsidRPr="000D61BE" w:rsidRDefault="00831A16" w:rsidP="00831A16">
      <w:pPr>
        <w:spacing w:after="0" w:line="240" w:lineRule="auto"/>
        <w:rPr>
          <w:bCs/>
          <w:color w:val="000000"/>
          <w:sz w:val="22"/>
          <w:szCs w:val="22"/>
        </w:rPr>
      </w:pPr>
    </w:p>
    <w:p w:rsidR="008951E3" w:rsidRPr="000D61BE" w:rsidRDefault="002E5489" w:rsidP="008951E3">
      <w:pPr>
        <w:spacing w:after="0" w:line="240" w:lineRule="auto"/>
        <w:rPr>
          <w:bCs/>
          <w:color w:val="000000"/>
          <w:sz w:val="22"/>
          <w:szCs w:val="22"/>
        </w:rPr>
      </w:pPr>
      <w:r>
        <w:rPr>
          <w:bCs/>
          <w:color w:val="000000"/>
          <w:sz w:val="22"/>
          <w:szCs w:val="22"/>
        </w:rPr>
        <w:t>4.3</w:t>
      </w:r>
      <w:r w:rsidR="009D7AF7" w:rsidRPr="000D61BE">
        <w:rPr>
          <w:bCs/>
          <w:color w:val="000000"/>
          <w:sz w:val="22"/>
          <w:szCs w:val="22"/>
        </w:rPr>
        <w:t xml:space="preserve"> </w:t>
      </w:r>
      <w:r w:rsidR="00E02F7A">
        <w:rPr>
          <w:bCs/>
          <w:color w:val="000000"/>
          <w:sz w:val="22"/>
          <w:szCs w:val="22"/>
        </w:rPr>
        <w:t>It is important to use the</w:t>
      </w:r>
      <w:r w:rsidR="009D7AF7" w:rsidRPr="000D61BE">
        <w:rPr>
          <w:bCs/>
          <w:color w:val="000000"/>
          <w:sz w:val="22"/>
          <w:szCs w:val="22"/>
        </w:rPr>
        <w:t xml:space="preserve"> term </w:t>
      </w:r>
      <w:r w:rsidR="00E02F7A">
        <w:rPr>
          <w:bCs/>
          <w:color w:val="000000"/>
          <w:sz w:val="22"/>
          <w:szCs w:val="22"/>
        </w:rPr>
        <w:t>“</w:t>
      </w:r>
      <w:r w:rsidR="009D7AF7" w:rsidRPr="000D61BE">
        <w:rPr>
          <w:bCs/>
          <w:color w:val="000000"/>
          <w:sz w:val="22"/>
          <w:szCs w:val="22"/>
        </w:rPr>
        <w:t>Text-Matching</w:t>
      </w:r>
      <w:r w:rsidR="00E02F7A">
        <w:rPr>
          <w:bCs/>
          <w:color w:val="000000"/>
          <w:sz w:val="22"/>
          <w:szCs w:val="22"/>
        </w:rPr>
        <w:t>”</w:t>
      </w:r>
      <w:r w:rsidR="009D7AF7" w:rsidRPr="000D61BE">
        <w:rPr>
          <w:bCs/>
          <w:color w:val="000000"/>
          <w:sz w:val="22"/>
          <w:szCs w:val="22"/>
        </w:rPr>
        <w:t xml:space="preserve"> software rather than </w:t>
      </w:r>
      <w:r w:rsidR="00E02F7A">
        <w:rPr>
          <w:bCs/>
          <w:color w:val="000000"/>
          <w:sz w:val="22"/>
          <w:szCs w:val="22"/>
        </w:rPr>
        <w:t>“</w:t>
      </w:r>
      <w:r w:rsidR="009D7AF7" w:rsidRPr="000D61BE">
        <w:rPr>
          <w:bCs/>
          <w:color w:val="000000"/>
          <w:sz w:val="22"/>
          <w:szCs w:val="22"/>
        </w:rPr>
        <w:t>P</w:t>
      </w:r>
      <w:r w:rsidR="00831A16" w:rsidRPr="000D61BE">
        <w:rPr>
          <w:bCs/>
          <w:color w:val="000000"/>
          <w:sz w:val="22"/>
          <w:szCs w:val="22"/>
        </w:rPr>
        <w:t>lagiarism</w:t>
      </w:r>
      <w:r w:rsidR="009D7AF7" w:rsidRPr="000D61BE">
        <w:rPr>
          <w:bCs/>
          <w:color w:val="000000"/>
          <w:sz w:val="22"/>
          <w:szCs w:val="22"/>
        </w:rPr>
        <w:t>-Detection</w:t>
      </w:r>
      <w:r w:rsidR="00E02F7A">
        <w:rPr>
          <w:bCs/>
          <w:color w:val="000000"/>
          <w:sz w:val="22"/>
          <w:szCs w:val="22"/>
        </w:rPr>
        <w:t>” software.</w:t>
      </w:r>
      <w:r w:rsidR="00831A16" w:rsidRPr="000D61BE">
        <w:rPr>
          <w:bCs/>
          <w:color w:val="000000"/>
          <w:sz w:val="22"/>
          <w:szCs w:val="22"/>
        </w:rPr>
        <w:t xml:space="preserve"> </w:t>
      </w:r>
      <w:r w:rsidR="009D7AF7" w:rsidRPr="000D61BE">
        <w:rPr>
          <w:bCs/>
          <w:color w:val="000000"/>
          <w:sz w:val="22"/>
          <w:szCs w:val="22"/>
        </w:rPr>
        <w:t>The</w:t>
      </w:r>
      <w:r w:rsidR="00831A16" w:rsidRPr="000D61BE">
        <w:rPr>
          <w:bCs/>
          <w:color w:val="000000"/>
          <w:sz w:val="22"/>
          <w:szCs w:val="22"/>
        </w:rPr>
        <w:t xml:space="preserve"> function</w:t>
      </w:r>
      <w:r w:rsidR="009D7AF7" w:rsidRPr="000D61BE">
        <w:rPr>
          <w:bCs/>
          <w:color w:val="000000"/>
          <w:sz w:val="22"/>
          <w:szCs w:val="22"/>
        </w:rPr>
        <w:t xml:space="preserve"> of the software i</w:t>
      </w:r>
      <w:r w:rsidR="00831A16" w:rsidRPr="000D61BE">
        <w:rPr>
          <w:bCs/>
          <w:color w:val="000000"/>
          <w:sz w:val="22"/>
          <w:szCs w:val="22"/>
        </w:rPr>
        <w:t>s to detect matching text.</w:t>
      </w:r>
      <w:r w:rsidR="000D3EF4">
        <w:rPr>
          <w:bCs/>
          <w:color w:val="000000"/>
          <w:sz w:val="22"/>
          <w:szCs w:val="22"/>
        </w:rPr>
        <w:t xml:space="preserve"> </w:t>
      </w:r>
      <w:r w:rsidR="000D3EF4" w:rsidRPr="000D3EF4">
        <w:rPr>
          <w:bCs/>
          <w:color w:val="000000"/>
          <w:sz w:val="22"/>
          <w:szCs w:val="22"/>
        </w:rPr>
        <w:t>It makes no judgement about wh</w:t>
      </w:r>
      <w:r w:rsidR="00E02F7A">
        <w:rPr>
          <w:bCs/>
          <w:color w:val="000000"/>
          <w:sz w:val="22"/>
          <w:szCs w:val="22"/>
        </w:rPr>
        <w:t>ether a student has plagiarised;</w:t>
      </w:r>
      <w:r w:rsidR="000D3EF4" w:rsidRPr="000D3EF4">
        <w:rPr>
          <w:bCs/>
          <w:color w:val="000000"/>
          <w:sz w:val="22"/>
          <w:szCs w:val="22"/>
        </w:rPr>
        <w:t xml:space="preserve"> it simply shows the percentage of the submission that matches other sources. In many cases the software highlights correctly cited references or ‘innocent’ matches. The responsible examiner must carefully review originality reports to </w:t>
      </w:r>
      <w:r w:rsidR="00831A16" w:rsidRPr="000D61BE">
        <w:rPr>
          <w:bCs/>
          <w:color w:val="000000"/>
          <w:sz w:val="22"/>
          <w:szCs w:val="22"/>
        </w:rPr>
        <w:t>determ</w:t>
      </w:r>
      <w:r w:rsidR="009D7AF7" w:rsidRPr="000D61BE">
        <w:rPr>
          <w:bCs/>
          <w:color w:val="000000"/>
          <w:sz w:val="22"/>
          <w:szCs w:val="22"/>
        </w:rPr>
        <w:t>ine whether the matching text i</w:t>
      </w:r>
      <w:r w:rsidR="00831A16" w:rsidRPr="000D61BE">
        <w:rPr>
          <w:bCs/>
          <w:color w:val="000000"/>
          <w:sz w:val="22"/>
          <w:szCs w:val="22"/>
        </w:rPr>
        <w:t>s plagiarised</w:t>
      </w:r>
      <w:r w:rsidR="009D7AF7" w:rsidRPr="000D61BE">
        <w:rPr>
          <w:bCs/>
          <w:color w:val="000000"/>
          <w:sz w:val="22"/>
          <w:szCs w:val="22"/>
        </w:rPr>
        <w:t>.</w:t>
      </w:r>
      <w:r w:rsidR="008951E3" w:rsidRPr="008951E3">
        <w:rPr>
          <w:bCs/>
          <w:color w:val="000000"/>
          <w:sz w:val="22"/>
          <w:szCs w:val="22"/>
        </w:rPr>
        <w:t xml:space="preserve"> </w:t>
      </w:r>
      <w:r w:rsidR="008951E3">
        <w:rPr>
          <w:bCs/>
          <w:color w:val="000000"/>
          <w:sz w:val="22"/>
          <w:szCs w:val="22"/>
        </w:rPr>
        <w:t xml:space="preserve">The classification of an assignment as ‘plagiarised’ is a matter of academic judgement. </w:t>
      </w:r>
    </w:p>
    <w:p w:rsidR="00831A16" w:rsidRPr="000D61BE" w:rsidRDefault="00831A16" w:rsidP="00E02F7A">
      <w:pPr>
        <w:spacing w:after="0" w:line="240" w:lineRule="auto"/>
        <w:rPr>
          <w:bCs/>
          <w:color w:val="000000"/>
          <w:sz w:val="22"/>
          <w:szCs w:val="22"/>
        </w:rPr>
      </w:pPr>
    </w:p>
    <w:p w:rsidR="00990127" w:rsidRPr="000D61BE" w:rsidRDefault="002E5489" w:rsidP="00F43F03">
      <w:pPr>
        <w:spacing w:after="0" w:line="240" w:lineRule="auto"/>
        <w:rPr>
          <w:bCs/>
          <w:color w:val="000000"/>
          <w:sz w:val="22"/>
          <w:szCs w:val="22"/>
        </w:rPr>
      </w:pPr>
      <w:r>
        <w:rPr>
          <w:bCs/>
          <w:color w:val="000000"/>
          <w:sz w:val="22"/>
          <w:szCs w:val="22"/>
        </w:rPr>
        <w:t>4.4</w:t>
      </w:r>
      <w:r w:rsidR="00990127" w:rsidRPr="000D61BE">
        <w:rPr>
          <w:bCs/>
          <w:color w:val="000000"/>
          <w:sz w:val="22"/>
          <w:szCs w:val="22"/>
        </w:rPr>
        <w:t xml:space="preserve"> </w:t>
      </w:r>
      <w:r w:rsidR="00F43F03" w:rsidRPr="000D61BE">
        <w:rPr>
          <w:bCs/>
          <w:color w:val="000000"/>
          <w:sz w:val="22"/>
          <w:szCs w:val="22"/>
        </w:rPr>
        <w:t>Staff and student</w:t>
      </w:r>
      <w:r w:rsidR="00864832">
        <w:rPr>
          <w:bCs/>
          <w:color w:val="000000"/>
          <w:sz w:val="22"/>
          <w:szCs w:val="22"/>
        </w:rPr>
        <w:t>s</w:t>
      </w:r>
      <w:r w:rsidR="00F43F03" w:rsidRPr="000D61BE">
        <w:rPr>
          <w:bCs/>
          <w:color w:val="000000"/>
          <w:sz w:val="22"/>
          <w:szCs w:val="22"/>
        </w:rPr>
        <w:t xml:space="preserve"> should be</w:t>
      </w:r>
      <w:r w:rsidR="00E02F7A">
        <w:rPr>
          <w:bCs/>
          <w:color w:val="000000"/>
          <w:sz w:val="22"/>
          <w:szCs w:val="22"/>
        </w:rPr>
        <w:t xml:space="preserve"> made</w:t>
      </w:r>
      <w:r w:rsidR="00F43F03" w:rsidRPr="000D61BE">
        <w:rPr>
          <w:bCs/>
          <w:color w:val="000000"/>
          <w:sz w:val="22"/>
          <w:szCs w:val="22"/>
        </w:rPr>
        <w:t xml:space="preserve"> aware that s</w:t>
      </w:r>
      <w:r w:rsidR="00E02F7A">
        <w:rPr>
          <w:bCs/>
          <w:color w:val="000000"/>
          <w:sz w:val="22"/>
          <w:szCs w:val="22"/>
        </w:rPr>
        <w:t>ome online Text-M</w:t>
      </w:r>
      <w:r w:rsidR="00990127" w:rsidRPr="000D61BE">
        <w:rPr>
          <w:bCs/>
          <w:color w:val="000000"/>
          <w:sz w:val="22"/>
          <w:szCs w:val="22"/>
        </w:rPr>
        <w:t>atching tools, particular</w:t>
      </w:r>
      <w:r w:rsidR="00E02F7A">
        <w:rPr>
          <w:bCs/>
          <w:color w:val="000000"/>
          <w:sz w:val="22"/>
          <w:szCs w:val="22"/>
        </w:rPr>
        <w:t xml:space="preserve">ly those available </w:t>
      </w:r>
      <w:r w:rsidR="00F43F03" w:rsidRPr="000D61BE">
        <w:rPr>
          <w:bCs/>
          <w:color w:val="000000"/>
          <w:sz w:val="22"/>
          <w:szCs w:val="22"/>
        </w:rPr>
        <w:t>free</w:t>
      </w:r>
      <w:r w:rsidR="00E02F7A">
        <w:rPr>
          <w:bCs/>
          <w:color w:val="000000"/>
          <w:sz w:val="22"/>
          <w:szCs w:val="22"/>
        </w:rPr>
        <w:t>-of-charge</w:t>
      </w:r>
      <w:r w:rsidR="00F43F03" w:rsidRPr="000D61BE">
        <w:rPr>
          <w:bCs/>
          <w:color w:val="000000"/>
          <w:sz w:val="22"/>
          <w:szCs w:val="22"/>
        </w:rPr>
        <w:t>, a</w:t>
      </w:r>
      <w:r w:rsidR="00990127" w:rsidRPr="000D61BE">
        <w:rPr>
          <w:bCs/>
          <w:color w:val="000000"/>
          <w:sz w:val="22"/>
          <w:szCs w:val="22"/>
        </w:rPr>
        <w:t xml:space="preserve">re unreliable. </w:t>
      </w:r>
      <w:r w:rsidR="00F43F03" w:rsidRPr="000D61BE">
        <w:rPr>
          <w:bCs/>
          <w:color w:val="000000"/>
          <w:sz w:val="22"/>
          <w:szCs w:val="22"/>
        </w:rPr>
        <w:t xml:space="preserve">For </w:t>
      </w:r>
      <w:r w:rsidR="00990127" w:rsidRPr="000D61BE">
        <w:rPr>
          <w:bCs/>
          <w:color w:val="000000"/>
          <w:sz w:val="22"/>
          <w:szCs w:val="22"/>
        </w:rPr>
        <w:t>students, it will not be a defence against a charge of plagiarism to explain that the work was submitted th</w:t>
      </w:r>
      <w:r w:rsidR="00E02F7A">
        <w:rPr>
          <w:bCs/>
          <w:color w:val="000000"/>
          <w:sz w:val="22"/>
          <w:szCs w:val="22"/>
        </w:rPr>
        <w:t>rough a Text-M</w:t>
      </w:r>
      <w:r w:rsidR="00F43F03" w:rsidRPr="000D61BE">
        <w:rPr>
          <w:bCs/>
          <w:color w:val="000000"/>
          <w:sz w:val="22"/>
          <w:szCs w:val="22"/>
        </w:rPr>
        <w:t>atching service</w:t>
      </w:r>
      <w:r w:rsidR="00990127" w:rsidRPr="000D61BE">
        <w:rPr>
          <w:bCs/>
          <w:color w:val="000000"/>
          <w:sz w:val="22"/>
          <w:szCs w:val="22"/>
        </w:rPr>
        <w:t>.</w:t>
      </w:r>
    </w:p>
    <w:p w:rsidR="009D7AF7" w:rsidRPr="000D61BE" w:rsidRDefault="009D7AF7" w:rsidP="00A975B9">
      <w:pPr>
        <w:spacing w:after="0" w:line="240" w:lineRule="auto"/>
        <w:rPr>
          <w:bCs/>
          <w:color w:val="000000"/>
          <w:sz w:val="22"/>
          <w:szCs w:val="22"/>
        </w:rPr>
      </w:pPr>
    </w:p>
    <w:p w:rsidR="000D61BE" w:rsidRPr="00FC5D4F" w:rsidRDefault="002E5489" w:rsidP="00E02F7A">
      <w:pPr>
        <w:spacing w:after="0" w:line="240" w:lineRule="auto"/>
        <w:rPr>
          <w:bCs/>
          <w:color w:val="000000"/>
          <w:sz w:val="22"/>
          <w:szCs w:val="22"/>
        </w:rPr>
      </w:pPr>
      <w:r>
        <w:rPr>
          <w:bCs/>
          <w:color w:val="000000"/>
          <w:sz w:val="22"/>
          <w:szCs w:val="22"/>
        </w:rPr>
        <w:t>4.5</w:t>
      </w:r>
      <w:r w:rsidR="00E221F7" w:rsidRPr="000D61BE">
        <w:rPr>
          <w:bCs/>
          <w:color w:val="000000"/>
          <w:sz w:val="22"/>
          <w:szCs w:val="22"/>
        </w:rPr>
        <w:t xml:space="preserve"> </w:t>
      </w:r>
      <w:r w:rsidR="00E02F7A">
        <w:rPr>
          <w:bCs/>
          <w:color w:val="000000"/>
          <w:sz w:val="22"/>
          <w:szCs w:val="22"/>
        </w:rPr>
        <w:t>Text-M</w:t>
      </w:r>
      <w:r w:rsidR="000D61BE" w:rsidRPr="00FC5D4F">
        <w:rPr>
          <w:bCs/>
          <w:color w:val="000000"/>
          <w:sz w:val="22"/>
          <w:szCs w:val="22"/>
        </w:rPr>
        <w:t>atching software cannot be used</w:t>
      </w:r>
      <w:r w:rsidR="00E02F7A">
        <w:rPr>
          <w:bCs/>
          <w:color w:val="000000"/>
          <w:sz w:val="22"/>
          <w:szCs w:val="22"/>
        </w:rPr>
        <w:t xml:space="preserve"> </w:t>
      </w:r>
      <w:r w:rsidR="00E02F7A" w:rsidRPr="00FC5D4F">
        <w:rPr>
          <w:bCs/>
          <w:color w:val="000000"/>
          <w:sz w:val="22"/>
          <w:szCs w:val="22"/>
        </w:rPr>
        <w:t>to analyse material su</w:t>
      </w:r>
      <w:r w:rsidR="00E02F7A">
        <w:rPr>
          <w:bCs/>
          <w:color w:val="000000"/>
          <w:sz w:val="22"/>
          <w:szCs w:val="22"/>
        </w:rPr>
        <w:t xml:space="preserve">bmitted in the form of an image; or </w:t>
      </w:r>
      <w:r w:rsidR="000D61BE" w:rsidRPr="00FC5D4F">
        <w:rPr>
          <w:bCs/>
          <w:color w:val="000000"/>
          <w:sz w:val="22"/>
          <w:szCs w:val="22"/>
        </w:rPr>
        <w:t>laboratory a</w:t>
      </w:r>
      <w:r w:rsidR="00E02F7A">
        <w:rPr>
          <w:bCs/>
          <w:color w:val="000000"/>
          <w:sz w:val="22"/>
          <w:szCs w:val="22"/>
        </w:rPr>
        <w:t>ssessment/practical work; or</w:t>
      </w:r>
      <w:r w:rsidR="000D61BE" w:rsidRPr="00FC5D4F">
        <w:rPr>
          <w:bCs/>
          <w:color w:val="000000"/>
          <w:sz w:val="22"/>
          <w:szCs w:val="22"/>
        </w:rPr>
        <w:t xml:space="preserve"> drawn, painted, sculpted, animated, fired, performed, sung or machined visual work. However, other e</w:t>
      </w:r>
      <w:r w:rsidR="004A18AE" w:rsidRPr="00FC5D4F">
        <w:rPr>
          <w:bCs/>
          <w:color w:val="000000"/>
          <w:sz w:val="22"/>
          <w:szCs w:val="22"/>
        </w:rPr>
        <w:t>lectronic tools</w:t>
      </w:r>
      <w:r w:rsidR="000D61BE" w:rsidRPr="00FC5D4F">
        <w:rPr>
          <w:bCs/>
          <w:color w:val="000000"/>
          <w:sz w:val="22"/>
          <w:szCs w:val="22"/>
        </w:rPr>
        <w:t xml:space="preserve"> </w:t>
      </w:r>
      <w:r w:rsidR="004A18AE" w:rsidRPr="00FC5D4F">
        <w:rPr>
          <w:bCs/>
          <w:color w:val="000000"/>
          <w:sz w:val="22"/>
          <w:szCs w:val="22"/>
        </w:rPr>
        <w:t>are</w:t>
      </w:r>
      <w:r w:rsidR="000D61BE" w:rsidRPr="00FC5D4F">
        <w:rPr>
          <w:bCs/>
          <w:color w:val="000000"/>
          <w:sz w:val="22"/>
          <w:szCs w:val="22"/>
        </w:rPr>
        <w:t xml:space="preserve"> available to support academics in detecting non-written plagiarism. </w:t>
      </w:r>
    </w:p>
    <w:p w:rsidR="00E221F7" w:rsidRDefault="00E221F7" w:rsidP="00A975B9">
      <w:pPr>
        <w:spacing w:after="0" w:line="240" w:lineRule="auto"/>
        <w:rPr>
          <w:bCs/>
          <w:color w:val="000000"/>
          <w:sz w:val="22"/>
          <w:szCs w:val="22"/>
        </w:rPr>
      </w:pPr>
    </w:p>
    <w:p w:rsidR="00FC5D4F" w:rsidRPr="00510617" w:rsidRDefault="001D5C46" w:rsidP="00510617">
      <w:pPr>
        <w:spacing w:after="0" w:line="240" w:lineRule="auto"/>
        <w:rPr>
          <w:bCs/>
          <w:color w:val="000000"/>
          <w:sz w:val="22"/>
          <w:szCs w:val="22"/>
        </w:rPr>
      </w:pPr>
      <w:r>
        <w:rPr>
          <w:bCs/>
          <w:color w:val="000000"/>
          <w:sz w:val="22"/>
          <w:szCs w:val="22"/>
        </w:rPr>
        <w:t>4.6</w:t>
      </w:r>
      <w:r w:rsidR="00E02F7A">
        <w:rPr>
          <w:bCs/>
          <w:color w:val="000000"/>
          <w:sz w:val="22"/>
          <w:szCs w:val="22"/>
        </w:rPr>
        <w:t xml:space="preserve"> The use of Text-Matching software</w:t>
      </w:r>
      <w:r w:rsidR="00FC5D4F" w:rsidRPr="00FC5D4F">
        <w:rPr>
          <w:bCs/>
          <w:color w:val="000000"/>
          <w:sz w:val="22"/>
          <w:szCs w:val="22"/>
        </w:rPr>
        <w:t xml:space="preserve"> </w:t>
      </w:r>
      <w:r w:rsidR="00E02F7A">
        <w:rPr>
          <w:bCs/>
          <w:color w:val="000000"/>
          <w:sz w:val="22"/>
          <w:szCs w:val="22"/>
        </w:rPr>
        <w:t>similarity i</w:t>
      </w:r>
      <w:r w:rsidR="00FC5D4F" w:rsidRPr="00FC5D4F">
        <w:rPr>
          <w:bCs/>
          <w:color w:val="000000"/>
          <w:sz w:val="22"/>
          <w:szCs w:val="22"/>
        </w:rPr>
        <w:t>ndex thresholds (e.g. 25% for the overall assignment, 5% for an individual match) as a trigger to prompt further investigation of an assignment is not encouraged, even</w:t>
      </w:r>
      <w:r w:rsidR="00E02F7A">
        <w:rPr>
          <w:bCs/>
          <w:color w:val="000000"/>
          <w:sz w:val="22"/>
          <w:szCs w:val="22"/>
        </w:rPr>
        <w:t xml:space="preserve"> as</w:t>
      </w:r>
      <w:r w:rsidR="00FC5D4F" w:rsidRPr="00FC5D4F">
        <w:rPr>
          <w:bCs/>
          <w:color w:val="000000"/>
          <w:sz w:val="22"/>
          <w:szCs w:val="22"/>
        </w:rPr>
        <w:t xml:space="preserve"> a guide, as there is no specific </w:t>
      </w:r>
      <w:r w:rsidR="00E02F7A">
        <w:rPr>
          <w:bCs/>
          <w:color w:val="000000"/>
          <w:sz w:val="22"/>
          <w:szCs w:val="22"/>
        </w:rPr>
        <w:t>similarity i</w:t>
      </w:r>
      <w:r w:rsidR="00FC5D4F" w:rsidRPr="00FC5D4F">
        <w:rPr>
          <w:bCs/>
          <w:color w:val="000000"/>
          <w:sz w:val="22"/>
          <w:szCs w:val="22"/>
        </w:rPr>
        <w:t xml:space="preserve">ndex </w:t>
      </w:r>
      <w:r w:rsidR="00E02F7A">
        <w:rPr>
          <w:bCs/>
          <w:color w:val="000000"/>
          <w:sz w:val="22"/>
          <w:szCs w:val="22"/>
        </w:rPr>
        <w:t xml:space="preserve">score </w:t>
      </w:r>
      <w:r w:rsidR="00FC5D4F" w:rsidRPr="00FC5D4F">
        <w:rPr>
          <w:bCs/>
          <w:color w:val="000000"/>
          <w:sz w:val="22"/>
          <w:szCs w:val="22"/>
        </w:rPr>
        <w:t>to indicate plagiarism, a</w:t>
      </w:r>
      <w:r w:rsidR="00E02F7A">
        <w:rPr>
          <w:bCs/>
          <w:color w:val="000000"/>
          <w:sz w:val="22"/>
          <w:szCs w:val="22"/>
        </w:rPr>
        <w:t>nd assignments with a very low similarity i</w:t>
      </w:r>
      <w:r w:rsidR="00FC5D4F" w:rsidRPr="00FC5D4F">
        <w:rPr>
          <w:bCs/>
          <w:color w:val="000000"/>
          <w:sz w:val="22"/>
          <w:szCs w:val="22"/>
        </w:rPr>
        <w:t xml:space="preserve">ndex could </w:t>
      </w:r>
      <w:r w:rsidR="00E02F7A">
        <w:rPr>
          <w:bCs/>
          <w:color w:val="000000"/>
          <w:sz w:val="22"/>
          <w:szCs w:val="22"/>
        </w:rPr>
        <w:t xml:space="preserve">still </w:t>
      </w:r>
      <w:r w:rsidR="00FC5D4F" w:rsidRPr="00FC5D4F">
        <w:rPr>
          <w:bCs/>
          <w:color w:val="000000"/>
          <w:sz w:val="22"/>
          <w:szCs w:val="22"/>
        </w:rPr>
        <w:t xml:space="preserve">be plagiarised. </w:t>
      </w:r>
      <w:r w:rsidR="00510617">
        <w:rPr>
          <w:bCs/>
          <w:color w:val="000000"/>
          <w:sz w:val="22"/>
          <w:szCs w:val="22"/>
        </w:rPr>
        <w:t>[</w:t>
      </w:r>
      <w:r w:rsidR="00510617" w:rsidRPr="0066042D">
        <w:rPr>
          <w:b/>
          <w:i/>
          <w:iCs/>
          <w:color w:val="000000"/>
          <w:sz w:val="22"/>
          <w:szCs w:val="22"/>
        </w:rPr>
        <w:t>There was some disagreement</w:t>
      </w:r>
      <w:r w:rsidR="0066042D">
        <w:rPr>
          <w:b/>
          <w:i/>
          <w:iCs/>
          <w:color w:val="000000"/>
          <w:sz w:val="22"/>
          <w:szCs w:val="22"/>
        </w:rPr>
        <w:t xml:space="preserve"> in the Working Group</w:t>
      </w:r>
      <w:r w:rsidR="00510617" w:rsidRPr="0066042D">
        <w:rPr>
          <w:b/>
          <w:i/>
          <w:iCs/>
          <w:color w:val="000000"/>
          <w:sz w:val="22"/>
          <w:szCs w:val="22"/>
        </w:rPr>
        <w:t xml:space="preserve"> here, though, with some feeling that some sort of trigger level is needed to reduce the overall number of cases to be investigated, and that some examples of major/minor infractions are needed to aid consistency across the University</w:t>
      </w:r>
      <w:r w:rsidR="00510617" w:rsidRPr="0066042D">
        <w:rPr>
          <w:b/>
          <w:color w:val="000000"/>
          <w:sz w:val="22"/>
          <w:szCs w:val="22"/>
        </w:rPr>
        <w:t>.]</w:t>
      </w:r>
    </w:p>
    <w:p w:rsidR="004A18AE" w:rsidRPr="00B96A39" w:rsidRDefault="004A18AE" w:rsidP="00A975B9">
      <w:pPr>
        <w:spacing w:after="0" w:line="240" w:lineRule="auto"/>
        <w:rPr>
          <w:bCs/>
          <w:color w:val="000000"/>
          <w:sz w:val="22"/>
          <w:szCs w:val="22"/>
        </w:rPr>
      </w:pPr>
    </w:p>
    <w:p w:rsidR="00B96A39" w:rsidRPr="00B96A39" w:rsidRDefault="001D5C46" w:rsidP="007826AC">
      <w:pPr>
        <w:spacing w:after="0" w:line="240" w:lineRule="auto"/>
        <w:rPr>
          <w:bCs/>
          <w:color w:val="000000"/>
          <w:sz w:val="22"/>
          <w:szCs w:val="22"/>
        </w:rPr>
      </w:pPr>
      <w:r>
        <w:rPr>
          <w:bCs/>
          <w:color w:val="000000"/>
          <w:sz w:val="22"/>
          <w:szCs w:val="22"/>
        </w:rPr>
        <w:t>4.7</w:t>
      </w:r>
      <w:r w:rsidR="00B96A39" w:rsidRPr="00B96A39">
        <w:rPr>
          <w:bCs/>
          <w:color w:val="000000"/>
          <w:sz w:val="22"/>
          <w:szCs w:val="22"/>
        </w:rPr>
        <w:t xml:space="preserve"> </w:t>
      </w:r>
      <w:r w:rsidR="00E02F7A">
        <w:rPr>
          <w:bCs/>
          <w:color w:val="000000"/>
          <w:sz w:val="22"/>
          <w:szCs w:val="22"/>
        </w:rPr>
        <w:t xml:space="preserve">Schools/Departments should be encouraged </w:t>
      </w:r>
      <w:r w:rsidR="007826AC">
        <w:rPr>
          <w:bCs/>
          <w:color w:val="000000"/>
          <w:sz w:val="22"/>
          <w:szCs w:val="22"/>
        </w:rPr>
        <w:t>to establish systems for the</w:t>
      </w:r>
      <w:r w:rsidR="00B96A39" w:rsidRPr="00B96A39">
        <w:rPr>
          <w:bCs/>
          <w:color w:val="000000"/>
          <w:sz w:val="22"/>
          <w:szCs w:val="22"/>
        </w:rPr>
        <w:t xml:space="preserve"> e-submission of appropriate coursework assignments</w:t>
      </w:r>
      <w:r w:rsidR="007826AC">
        <w:rPr>
          <w:bCs/>
          <w:color w:val="000000"/>
          <w:sz w:val="22"/>
          <w:szCs w:val="22"/>
        </w:rPr>
        <w:t>, where possible, as this</w:t>
      </w:r>
      <w:r w:rsidR="00B96A39" w:rsidRPr="00B96A39">
        <w:rPr>
          <w:bCs/>
          <w:color w:val="000000"/>
          <w:sz w:val="22"/>
          <w:szCs w:val="22"/>
        </w:rPr>
        <w:t xml:space="preserve"> facilitates</w:t>
      </w:r>
      <w:r w:rsidR="007826AC">
        <w:rPr>
          <w:bCs/>
          <w:color w:val="000000"/>
          <w:sz w:val="22"/>
          <w:szCs w:val="22"/>
        </w:rPr>
        <w:t>,</w:t>
      </w:r>
      <w:r w:rsidR="00B96A39" w:rsidRPr="00B96A39">
        <w:rPr>
          <w:bCs/>
          <w:color w:val="000000"/>
          <w:sz w:val="22"/>
          <w:szCs w:val="22"/>
        </w:rPr>
        <w:t xml:space="preserve"> and may be used in conjunction with </w:t>
      </w:r>
      <w:r w:rsidR="007826AC">
        <w:rPr>
          <w:bCs/>
          <w:color w:val="000000"/>
          <w:sz w:val="22"/>
          <w:szCs w:val="22"/>
        </w:rPr>
        <w:t>Text-M</w:t>
      </w:r>
      <w:r w:rsidR="00B96A39" w:rsidRPr="00B96A39">
        <w:rPr>
          <w:bCs/>
          <w:color w:val="000000"/>
          <w:sz w:val="22"/>
          <w:szCs w:val="22"/>
        </w:rPr>
        <w:t xml:space="preserve">atching software. </w:t>
      </w:r>
    </w:p>
    <w:p w:rsidR="00FC5D4F" w:rsidRDefault="00FC5D4F" w:rsidP="00A975B9">
      <w:pPr>
        <w:spacing w:after="0" w:line="240" w:lineRule="auto"/>
        <w:rPr>
          <w:bCs/>
          <w:color w:val="000000"/>
          <w:sz w:val="22"/>
          <w:szCs w:val="22"/>
        </w:rPr>
      </w:pPr>
    </w:p>
    <w:p w:rsidR="00FC1400" w:rsidRPr="00DF0CD9" w:rsidRDefault="001D5C46" w:rsidP="005B683E">
      <w:pPr>
        <w:spacing w:after="0" w:line="240" w:lineRule="auto"/>
        <w:rPr>
          <w:bCs/>
          <w:color w:val="000000"/>
          <w:sz w:val="22"/>
          <w:szCs w:val="22"/>
        </w:rPr>
      </w:pPr>
      <w:r>
        <w:rPr>
          <w:bCs/>
          <w:color w:val="000000"/>
          <w:sz w:val="22"/>
          <w:szCs w:val="22"/>
        </w:rPr>
        <w:t>4.8</w:t>
      </w:r>
      <w:r w:rsidR="00FC1400" w:rsidRPr="00DF0CD9">
        <w:rPr>
          <w:bCs/>
          <w:color w:val="000000"/>
          <w:sz w:val="22"/>
          <w:szCs w:val="22"/>
        </w:rPr>
        <w:t xml:space="preserve"> </w:t>
      </w:r>
      <w:r w:rsidR="00DF0CD9" w:rsidRPr="00DF0CD9">
        <w:rPr>
          <w:bCs/>
          <w:color w:val="000000"/>
          <w:sz w:val="22"/>
          <w:szCs w:val="22"/>
        </w:rPr>
        <w:t xml:space="preserve">Where </w:t>
      </w:r>
      <w:r w:rsidR="005B683E">
        <w:rPr>
          <w:bCs/>
          <w:color w:val="000000"/>
          <w:sz w:val="22"/>
          <w:szCs w:val="22"/>
        </w:rPr>
        <w:t>practicable</w:t>
      </w:r>
      <w:r w:rsidR="00DF0CD9" w:rsidRPr="00DF0CD9">
        <w:rPr>
          <w:bCs/>
          <w:color w:val="000000"/>
          <w:sz w:val="22"/>
          <w:szCs w:val="22"/>
        </w:rPr>
        <w:t xml:space="preserve"> (i.e. where </w:t>
      </w:r>
      <w:r w:rsidR="007826AC">
        <w:rPr>
          <w:bCs/>
          <w:color w:val="000000"/>
          <w:sz w:val="22"/>
          <w:szCs w:val="22"/>
        </w:rPr>
        <w:t>coursework is</w:t>
      </w:r>
      <w:r w:rsidR="00DF0CD9" w:rsidRPr="00DF0CD9">
        <w:rPr>
          <w:bCs/>
          <w:color w:val="000000"/>
          <w:sz w:val="22"/>
          <w:szCs w:val="22"/>
        </w:rPr>
        <w:t xml:space="preserve"> submitted electronically in th</w:t>
      </w:r>
      <w:r w:rsidR="005B683E">
        <w:rPr>
          <w:bCs/>
          <w:color w:val="000000"/>
          <w:sz w:val="22"/>
          <w:szCs w:val="22"/>
        </w:rPr>
        <w:t>e first instance)</w:t>
      </w:r>
      <w:r w:rsidR="007826AC">
        <w:rPr>
          <w:bCs/>
          <w:color w:val="000000"/>
          <w:sz w:val="22"/>
          <w:szCs w:val="22"/>
        </w:rPr>
        <w:t>,</w:t>
      </w:r>
      <w:r w:rsidR="00DF0CD9" w:rsidRPr="00DF0CD9">
        <w:rPr>
          <w:bCs/>
          <w:color w:val="000000"/>
          <w:sz w:val="22"/>
          <w:szCs w:val="22"/>
        </w:rPr>
        <w:t xml:space="preserve"> </w:t>
      </w:r>
      <w:r w:rsidR="005B683E">
        <w:rPr>
          <w:bCs/>
          <w:color w:val="000000"/>
          <w:sz w:val="22"/>
          <w:szCs w:val="22"/>
        </w:rPr>
        <w:t>if</w:t>
      </w:r>
      <w:r w:rsidR="00DF0CD9" w:rsidRPr="00DF0CD9">
        <w:rPr>
          <w:bCs/>
          <w:color w:val="000000"/>
          <w:sz w:val="22"/>
          <w:szCs w:val="22"/>
        </w:rPr>
        <w:t xml:space="preserve"> plagiarism is suspected in one or more assignments</w:t>
      </w:r>
      <w:r w:rsidR="007826AC">
        <w:rPr>
          <w:bCs/>
          <w:color w:val="000000"/>
          <w:sz w:val="22"/>
          <w:szCs w:val="22"/>
        </w:rPr>
        <w:t xml:space="preserve"> and these are submitted through Text-Matching software</w:t>
      </w:r>
      <w:r w:rsidR="00DF0CD9" w:rsidRPr="00DF0CD9">
        <w:rPr>
          <w:bCs/>
          <w:color w:val="000000"/>
          <w:sz w:val="22"/>
          <w:szCs w:val="22"/>
        </w:rPr>
        <w:t xml:space="preserve">, all assignments from the </w:t>
      </w:r>
      <w:r w:rsidR="007826AC">
        <w:rPr>
          <w:bCs/>
          <w:color w:val="000000"/>
          <w:sz w:val="22"/>
          <w:szCs w:val="22"/>
        </w:rPr>
        <w:t xml:space="preserve">same </w:t>
      </w:r>
      <w:r w:rsidR="00DF0CD9" w:rsidRPr="00DF0CD9">
        <w:rPr>
          <w:bCs/>
          <w:color w:val="000000"/>
          <w:sz w:val="22"/>
          <w:szCs w:val="22"/>
        </w:rPr>
        <w:t>co</w:t>
      </w:r>
      <w:r w:rsidR="005B683E">
        <w:rPr>
          <w:bCs/>
          <w:color w:val="000000"/>
          <w:sz w:val="22"/>
          <w:szCs w:val="22"/>
        </w:rPr>
        <w:t>hort should also</w:t>
      </w:r>
      <w:r w:rsidR="007826AC">
        <w:rPr>
          <w:bCs/>
          <w:color w:val="000000"/>
          <w:sz w:val="22"/>
          <w:szCs w:val="22"/>
        </w:rPr>
        <w:t xml:space="preserve"> be submitted through </w:t>
      </w:r>
      <w:r w:rsidR="005B683E">
        <w:rPr>
          <w:bCs/>
          <w:color w:val="000000"/>
          <w:sz w:val="22"/>
          <w:szCs w:val="22"/>
        </w:rPr>
        <w:t>the</w:t>
      </w:r>
      <w:r w:rsidR="007826AC">
        <w:rPr>
          <w:bCs/>
          <w:color w:val="000000"/>
          <w:sz w:val="22"/>
          <w:szCs w:val="22"/>
        </w:rPr>
        <w:t xml:space="preserve"> software</w:t>
      </w:r>
      <w:r w:rsidR="00DF0CD9" w:rsidRPr="00DF0CD9">
        <w:rPr>
          <w:bCs/>
          <w:color w:val="000000"/>
          <w:sz w:val="22"/>
          <w:szCs w:val="22"/>
        </w:rPr>
        <w:t>, in order to ensure consistency of treatment. This approach recognises that it i</w:t>
      </w:r>
      <w:r w:rsidR="00FC1400" w:rsidRPr="00DF0CD9">
        <w:rPr>
          <w:bCs/>
          <w:color w:val="000000"/>
          <w:sz w:val="22"/>
          <w:szCs w:val="22"/>
        </w:rPr>
        <w:t>s not always possible for academic staff to identify plagiarism, particularly in modules covering a broad range of publications.</w:t>
      </w:r>
    </w:p>
    <w:p w:rsidR="00183FC3" w:rsidRDefault="00183FC3" w:rsidP="00A975B9">
      <w:pPr>
        <w:spacing w:after="0" w:line="240" w:lineRule="auto"/>
        <w:rPr>
          <w:bCs/>
          <w:color w:val="000000"/>
          <w:sz w:val="22"/>
          <w:szCs w:val="22"/>
        </w:rPr>
      </w:pPr>
    </w:p>
    <w:p w:rsidR="003C1908" w:rsidRDefault="00290B76" w:rsidP="003C1908">
      <w:pPr>
        <w:spacing w:after="0" w:line="240" w:lineRule="auto"/>
        <w:rPr>
          <w:bCs/>
          <w:color w:val="000000"/>
          <w:sz w:val="22"/>
          <w:szCs w:val="22"/>
        </w:rPr>
      </w:pPr>
      <w:r>
        <w:rPr>
          <w:bCs/>
          <w:color w:val="000000"/>
          <w:sz w:val="22"/>
          <w:szCs w:val="22"/>
        </w:rPr>
        <w:t>4</w:t>
      </w:r>
      <w:r w:rsidR="001D5C46">
        <w:rPr>
          <w:bCs/>
          <w:color w:val="000000"/>
          <w:sz w:val="22"/>
          <w:szCs w:val="22"/>
        </w:rPr>
        <w:t>.9</w:t>
      </w:r>
      <w:r w:rsidRPr="00942CFF">
        <w:rPr>
          <w:bCs/>
          <w:color w:val="000000"/>
          <w:sz w:val="22"/>
          <w:szCs w:val="22"/>
        </w:rPr>
        <w:t xml:space="preserve"> Schools/Departments </w:t>
      </w:r>
      <w:r w:rsidR="003C1908">
        <w:rPr>
          <w:bCs/>
          <w:color w:val="000000"/>
          <w:sz w:val="22"/>
          <w:szCs w:val="22"/>
        </w:rPr>
        <w:t>should be</w:t>
      </w:r>
      <w:r w:rsidRPr="00942CFF">
        <w:rPr>
          <w:bCs/>
          <w:color w:val="000000"/>
          <w:sz w:val="22"/>
          <w:szCs w:val="22"/>
        </w:rPr>
        <w:t xml:space="preserve"> encouraged to use </w:t>
      </w:r>
      <w:r w:rsidR="003C1908">
        <w:rPr>
          <w:bCs/>
          <w:color w:val="000000"/>
          <w:sz w:val="22"/>
          <w:szCs w:val="22"/>
        </w:rPr>
        <w:t>Text-Matching r</w:t>
      </w:r>
      <w:r w:rsidRPr="00942CFF">
        <w:rPr>
          <w:bCs/>
          <w:color w:val="000000"/>
          <w:sz w:val="22"/>
          <w:szCs w:val="22"/>
        </w:rPr>
        <w:t>eports as a developmental tool, as part of the embedding of support for good refer</w:t>
      </w:r>
      <w:r w:rsidR="003C1908">
        <w:rPr>
          <w:bCs/>
          <w:color w:val="000000"/>
          <w:sz w:val="22"/>
          <w:szCs w:val="22"/>
        </w:rPr>
        <w:t xml:space="preserve">encing and plagiarism avoidance (e.g. </w:t>
      </w:r>
      <w:r w:rsidRPr="003C1908">
        <w:rPr>
          <w:bCs/>
          <w:color w:val="000000"/>
          <w:sz w:val="22"/>
          <w:szCs w:val="22"/>
        </w:rPr>
        <w:t>Reports generated from work submitted by students at an early stage of their programme</w:t>
      </w:r>
      <w:r w:rsidR="003C1908">
        <w:rPr>
          <w:bCs/>
          <w:color w:val="000000"/>
          <w:sz w:val="22"/>
          <w:szCs w:val="22"/>
        </w:rPr>
        <w:t>s</w:t>
      </w:r>
      <w:r w:rsidRPr="003C1908">
        <w:rPr>
          <w:bCs/>
          <w:color w:val="000000"/>
          <w:sz w:val="22"/>
          <w:szCs w:val="22"/>
        </w:rPr>
        <w:t xml:space="preserve"> can be discussed as part of feedback meetings with tutor</w:t>
      </w:r>
      <w:r w:rsidR="003C1908">
        <w:rPr>
          <w:bCs/>
          <w:color w:val="000000"/>
          <w:sz w:val="22"/>
          <w:szCs w:val="22"/>
        </w:rPr>
        <w:t>s, and s</w:t>
      </w:r>
      <w:r w:rsidRPr="003C1908">
        <w:rPr>
          <w:bCs/>
          <w:color w:val="000000"/>
          <w:sz w:val="22"/>
          <w:szCs w:val="22"/>
        </w:rPr>
        <w:t>ubject-</w:t>
      </w:r>
      <w:r w:rsidRPr="003C1908">
        <w:rPr>
          <w:bCs/>
          <w:color w:val="000000"/>
          <w:sz w:val="22"/>
          <w:szCs w:val="22"/>
        </w:rPr>
        <w:lastRenderedPageBreak/>
        <w:t xml:space="preserve">specific, anonymised examples of </w:t>
      </w:r>
      <w:r w:rsidR="003C1908">
        <w:rPr>
          <w:bCs/>
          <w:color w:val="000000"/>
          <w:sz w:val="22"/>
          <w:szCs w:val="22"/>
        </w:rPr>
        <w:t>r</w:t>
      </w:r>
      <w:r w:rsidRPr="003C1908">
        <w:rPr>
          <w:bCs/>
          <w:color w:val="000000"/>
          <w:sz w:val="22"/>
          <w:szCs w:val="22"/>
        </w:rPr>
        <w:t>eports, generated in relation to</w:t>
      </w:r>
      <w:r w:rsidR="003C1908">
        <w:rPr>
          <w:bCs/>
          <w:color w:val="000000"/>
          <w:sz w:val="22"/>
          <w:szCs w:val="22"/>
        </w:rPr>
        <w:t xml:space="preserve"> real </w:t>
      </w:r>
      <w:r w:rsidRPr="003C1908">
        <w:rPr>
          <w:bCs/>
          <w:color w:val="000000"/>
          <w:sz w:val="22"/>
          <w:szCs w:val="22"/>
        </w:rPr>
        <w:t>cases</w:t>
      </w:r>
      <w:r w:rsidR="003C1908">
        <w:rPr>
          <w:bCs/>
          <w:color w:val="000000"/>
          <w:sz w:val="22"/>
          <w:szCs w:val="22"/>
        </w:rPr>
        <w:t xml:space="preserve"> of plagiarism</w:t>
      </w:r>
      <w:r w:rsidRPr="003C1908">
        <w:rPr>
          <w:bCs/>
          <w:color w:val="000000"/>
          <w:sz w:val="22"/>
          <w:szCs w:val="22"/>
        </w:rPr>
        <w:t>, can be used in indivi</w:t>
      </w:r>
      <w:r w:rsidR="003C1908">
        <w:rPr>
          <w:bCs/>
          <w:color w:val="000000"/>
          <w:sz w:val="22"/>
          <w:szCs w:val="22"/>
        </w:rPr>
        <w:t>dual or group tutorial sessions</w:t>
      </w:r>
      <w:r w:rsidR="007C50F3">
        <w:rPr>
          <w:bCs/>
          <w:color w:val="000000"/>
          <w:sz w:val="22"/>
          <w:szCs w:val="22"/>
        </w:rPr>
        <w:t>)</w:t>
      </w:r>
      <w:r w:rsidR="003C1908">
        <w:rPr>
          <w:bCs/>
          <w:color w:val="000000"/>
          <w:sz w:val="22"/>
          <w:szCs w:val="22"/>
        </w:rPr>
        <w:t>.</w:t>
      </w:r>
    </w:p>
    <w:p w:rsidR="003C1908" w:rsidRDefault="003C1908" w:rsidP="003C1908">
      <w:pPr>
        <w:spacing w:after="0" w:line="240" w:lineRule="auto"/>
        <w:rPr>
          <w:bCs/>
          <w:color w:val="000000"/>
          <w:sz w:val="22"/>
          <w:szCs w:val="22"/>
        </w:rPr>
      </w:pPr>
    </w:p>
    <w:p w:rsidR="00290B76" w:rsidRPr="00942CFF" w:rsidRDefault="003C1908" w:rsidP="0066042D">
      <w:pPr>
        <w:spacing w:after="0" w:line="240" w:lineRule="auto"/>
        <w:rPr>
          <w:bCs/>
          <w:color w:val="000000"/>
          <w:sz w:val="22"/>
          <w:szCs w:val="22"/>
        </w:rPr>
      </w:pPr>
      <w:r>
        <w:rPr>
          <w:bCs/>
          <w:color w:val="000000"/>
          <w:sz w:val="22"/>
          <w:szCs w:val="22"/>
        </w:rPr>
        <w:t>4.10 S</w:t>
      </w:r>
      <w:r w:rsidR="00630F71">
        <w:rPr>
          <w:bCs/>
          <w:color w:val="000000"/>
          <w:sz w:val="22"/>
          <w:szCs w:val="22"/>
        </w:rPr>
        <w:t>tudents should not be</w:t>
      </w:r>
      <w:r w:rsidR="00290B76" w:rsidRPr="00942CFF">
        <w:rPr>
          <w:bCs/>
          <w:color w:val="000000"/>
          <w:sz w:val="22"/>
          <w:szCs w:val="22"/>
        </w:rPr>
        <w:t xml:space="preserve"> permitted </w:t>
      </w:r>
      <w:r>
        <w:rPr>
          <w:bCs/>
          <w:color w:val="000000"/>
          <w:sz w:val="22"/>
          <w:szCs w:val="22"/>
        </w:rPr>
        <w:t>to generate their own independent reports from the University’s Text-Matching software provider</w:t>
      </w:r>
      <w:r w:rsidR="004A02E5">
        <w:rPr>
          <w:bCs/>
          <w:color w:val="000000"/>
          <w:sz w:val="22"/>
          <w:szCs w:val="22"/>
        </w:rPr>
        <w:t>, in order to avoid</w:t>
      </w:r>
      <w:r w:rsidR="004A02E5" w:rsidRPr="004A02E5">
        <w:rPr>
          <w:bCs/>
          <w:color w:val="000000"/>
          <w:sz w:val="22"/>
          <w:szCs w:val="22"/>
        </w:rPr>
        <w:t xml:space="preserve"> unscrupulous students using the software to finesse work so that plagiarised content is no longer detectable.</w:t>
      </w:r>
    </w:p>
    <w:p w:rsidR="00290B76" w:rsidRPr="00183FC3" w:rsidRDefault="00290B76" w:rsidP="00A975B9">
      <w:pPr>
        <w:spacing w:after="0" w:line="240" w:lineRule="auto"/>
        <w:rPr>
          <w:bCs/>
          <w:color w:val="000000"/>
          <w:sz w:val="22"/>
          <w:szCs w:val="22"/>
        </w:rPr>
      </w:pPr>
    </w:p>
    <w:p w:rsidR="00C17287" w:rsidRPr="002E5489" w:rsidRDefault="002E5489" w:rsidP="00C17287">
      <w:pPr>
        <w:spacing w:after="0" w:line="240" w:lineRule="auto"/>
        <w:rPr>
          <w:b/>
          <w:color w:val="000000"/>
          <w:sz w:val="22"/>
          <w:szCs w:val="22"/>
        </w:rPr>
      </w:pPr>
      <w:r w:rsidRPr="002E5489">
        <w:rPr>
          <w:b/>
          <w:color w:val="000000"/>
          <w:sz w:val="22"/>
          <w:szCs w:val="22"/>
        </w:rPr>
        <w:t>5. Procedure</w:t>
      </w:r>
    </w:p>
    <w:p w:rsidR="002E5489" w:rsidRDefault="002E5489" w:rsidP="00C17287">
      <w:pPr>
        <w:spacing w:after="0" w:line="240" w:lineRule="auto"/>
        <w:rPr>
          <w:bCs/>
          <w:color w:val="000000"/>
          <w:sz w:val="22"/>
          <w:szCs w:val="22"/>
        </w:rPr>
      </w:pPr>
    </w:p>
    <w:p w:rsidR="002E5489" w:rsidRPr="00183FC3" w:rsidRDefault="00DF038D" w:rsidP="00D63FF4">
      <w:pPr>
        <w:spacing w:after="0" w:line="240" w:lineRule="auto"/>
        <w:rPr>
          <w:bCs/>
          <w:color w:val="000000"/>
          <w:sz w:val="22"/>
          <w:szCs w:val="22"/>
        </w:rPr>
      </w:pPr>
      <w:r>
        <w:rPr>
          <w:bCs/>
          <w:color w:val="000000"/>
          <w:sz w:val="22"/>
          <w:szCs w:val="22"/>
        </w:rPr>
        <w:t>5.1 Where circumstances arise which appear to an examiner to suggest that a candidate has committed plagiarism, th</w:t>
      </w:r>
      <w:r w:rsidR="0099178B">
        <w:rPr>
          <w:bCs/>
          <w:color w:val="000000"/>
          <w:sz w:val="22"/>
          <w:szCs w:val="22"/>
        </w:rPr>
        <w:t xml:space="preserve">e </w:t>
      </w:r>
      <w:r>
        <w:rPr>
          <w:bCs/>
          <w:color w:val="000000"/>
          <w:sz w:val="22"/>
          <w:szCs w:val="22"/>
        </w:rPr>
        <w:t xml:space="preserve">procedures detailed in Regulation XVIII should be followed. </w:t>
      </w:r>
    </w:p>
    <w:p w:rsidR="00183FC3" w:rsidRDefault="00183FC3" w:rsidP="00A975B9">
      <w:pPr>
        <w:spacing w:after="0" w:line="240" w:lineRule="auto"/>
        <w:rPr>
          <w:bCs/>
          <w:color w:val="000000"/>
          <w:sz w:val="22"/>
          <w:szCs w:val="22"/>
        </w:rPr>
      </w:pPr>
    </w:p>
    <w:p w:rsidR="00DF038D" w:rsidRPr="00183FC3" w:rsidRDefault="00D63FF4" w:rsidP="00D63FF4">
      <w:pPr>
        <w:spacing w:after="0" w:line="240" w:lineRule="auto"/>
        <w:rPr>
          <w:bCs/>
          <w:color w:val="000000"/>
          <w:sz w:val="22"/>
          <w:szCs w:val="22"/>
        </w:rPr>
      </w:pPr>
      <w:r>
        <w:rPr>
          <w:bCs/>
          <w:color w:val="000000"/>
          <w:sz w:val="22"/>
          <w:szCs w:val="22"/>
        </w:rPr>
        <w:t>5.2 As part of the initial</w:t>
      </w:r>
      <w:r w:rsidR="0099178B">
        <w:rPr>
          <w:bCs/>
          <w:color w:val="000000"/>
          <w:sz w:val="22"/>
          <w:szCs w:val="22"/>
        </w:rPr>
        <w:t xml:space="preserve"> investigation stage (before any formal </w:t>
      </w:r>
      <w:r>
        <w:rPr>
          <w:bCs/>
          <w:color w:val="000000"/>
          <w:sz w:val="22"/>
          <w:szCs w:val="22"/>
        </w:rPr>
        <w:t>allegation</w:t>
      </w:r>
      <w:r w:rsidR="0099178B">
        <w:rPr>
          <w:bCs/>
          <w:color w:val="000000"/>
          <w:sz w:val="22"/>
          <w:szCs w:val="22"/>
        </w:rPr>
        <w:t xml:space="preserve"> </w:t>
      </w:r>
      <w:r>
        <w:rPr>
          <w:bCs/>
          <w:color w:val="000000"/>
          <w:sz w:val="22"/>
          <w:szCs w:val="22"/>
        </w:rPr>
        <w:t>of academic misconduct is made</w:t>
      </w:r>
      <w:r w:rsidR="0099178B">
        <w:rPr>
          <w:bCs/>
          <w:color w:val="000000"/>
          <w:sz w:val="22"/>
          <w:szCs w:val="22"/>
        </w:rPr>
        <w:t xml:space="preserve">) </w:t>
      </w:r>
      <w:r w:rsidR="0099178B" w:rsidRPr="0099178B">
        <w:rPr>
          <w:bCs/>
          <w:color w:val="000000"/>
          <w:sz w:val="22"/>
          <w:szCs w:val="22"/>
        </w:rPr>
        <w:t>a decision will be reached about whether the case constitutes plagiarism as opposed to poor scholarship, and as part of this decision, account will be taken of a number of factors, including the extent to which the circumstances appear to indicate that the student intended to obtain an unfair advantage (noting that intent is difficult to prove, but that information such as the amount of improperly referenced material; any attempts at referencing within the work; circumstantial evidence; and the student’s representations, can provide an insight into this question).</w:t>
      </w:r>
    </w:p>
    <w:p w:rsidR="00183FC3" w:rsidRDefault="00183FC3" w:rsidP="00A975B9">
      <w:pPr>
        <w:spacing w:after="0" w:line="240" w:lineRule="auto"/>
        <w:rPr>
          <w:bCs/>
          <w:color w:val="000000"/>
          <w:sz w:val="22"/>
          <w:szCs w:val="22"/>
        </w:rPr>
      </w:pPr>
    </w:p>
    <w:p w:rsidR="00C14DB2" w:rsidRDefault="00D63FF4" w:rsidP="0072528F">
      <w:pPr>
        <w:spacing w:after="0" w:line="240" w:lineRule="auto"/>
        <w:rPr>
          <w:bCs/>
          <w:color w:val="000000"/>
          <w:sz w:val="22"/>
          <w:szCs w:val="22"/>
        </w:rPr>
      </w:pPr>
      <w:r>
        <w:rPr>
          <w:bCs/>
          <w:color w:val="000000"/>
          <w:sz w:val="22"/>
          <w:szCs w:val="22"/>
        </w:rPr>
        <w:t>5.3 Where an initial</w:t>
      </w:r>
      <w:r w:rsidR="00C14DB2">
        <w:rPr>
          <w:bCs/>
          <w:color w:val="000000"/>
          <w:sz w:val="22"/>
          <w:szCs w:val="22"/>
        </w:rPr>
        <w:t xml:space="preserve"> investigation is conducted, and the student is </w:t>
      </w:r>
      <w:r w:rsidR="00BD0519">
        <w:rPr>
          <w:bCs/>
          <w:color w:val="000000"/>
          <w:sz w:val="22"/>
          <w:szCs w:val="22"/>
        </w:rPr>
        <w:t>required</w:t>
      </w:r>
      <w:r w:rsidR="00C14DB2">
        <w:rPr>
          <w:bCs/>
          <w:color w:val="000000"/>
          <w:sz w:val="22"/>
          <w:szCs w:val="22"/>
        </w:rPr>
        <w:t xml:space="preserve"> to attend an interview, the student will be </w:t>
      </w:r>
      <w:r w:rsidR="00BD0519">
        <w:rPr>
          <w:bCs/>
          <w:color w:val="000000"/>
          <w:sz w:val="22"/>
          <w:szCs w:val="22"/>
        </w:rPr>
        <w:t>provided with reasonable notice</w:t>
      </w:r>
      <w:r w:rsidR="00C14DB2">
        <w:rPr>
          <w:bCs/>
          <w:color w:val="000000"/>
          <w:sz w:val="22"/>
          <w:szCs w:val="22"/>
        </w:rPr>
        <w:t>, and advised of their right to be accompanied.</w:t>
      </w:r>
      <w:r w:rsidR="0072528F">
        <w:rPr>
          <w:bCs/>
          <w:color w:val="000000"/>
          <w:sz w:val="22"/>
          <w:szCs w:val="22"/>
        </w:rPr>
        <w:t xml:space="preserve"> [</w:t>
      </w:r>
      <w:r w:rsidR="0072528F" w:rsidRPr="0066042D">
        <w:rPr>
          <w:b/>
          <w:i/>
          <w:iCs/>
          <w:color w:val="000000"/>
          <w:sz w:val="22"/>
          <w:szCs w:val="22"/>
        </w:rPr>
        <w:t>Do we want to specify a procedure for collusion cases, or should this be left to the discretion of the HoD/AD(T)/nominee concerned. Maybe the CoP could say here: “In cases where inappropriate collusion between two or more students is suspected, the students may be interviewed separately and/or together, at the discretion of the relevant HoD, AD(T), or nominee</w:t>
      </w:r>
      <w:r w:rsidR="0072528F" w:rsidRPr="0066042D">
        <w:rPr>
          <w:b/>
          <w:color w:val="000000"/>
          <w:sz w:val="22"/>
          <w:szCs w:val="22"/>
        </w:rPr>
        <w:t>.”]</w:t>
      </w:r>
    </w:p>
    <w:p w:rsidR="00C14DB2" w:rsidRPr="00183FC3" w:rsidRDefault="00C14DB2" w:rsidP="00A975B9">
      <w:pPr>
        <w:spacing w:after="0" w:line="240" w:lineRule="auto"/>
        <w:rPr>
          <w:bCs/>
          <w:color w:val="000000"/>
          <w:sz w:val="22"/>
          <w:szCs w:val="22"/>
        </w:rPr>
      </w:pPr>
    </w:p>
    <w:p w:rsidR="0099178B" w:rsidRDefault="00C14DB2" w:rsidP="007C50F3">
      <w:pPr>
        <w:pStyle w:val="Default"/>
        <w:rPr>
          <w:sz w:val="22"/>
          <w:szCs w:val="22"/>
        </w:rPr>
      </w:pPr>
      <w:r>
        <w:rPr>
          <w:sz w:val="22"/>
          <w:szCs w:val="22"/>
        </w:rPr>
        <w:t>5.4</w:t>
      </w:r>
      <w:r w:rsidR="0099178B">
        <w:rPr>
          <w:sz w:val="22"/>
          <w:szCs w:val="22"/>
        </w:rPr>
        <w:t xml:space="preserve"> Where it is decided that a case constitutes poor scholarship, the School/Department must ensure the student is aware of what s/he has done wrong and has been given appropriate instruction on how to avoid the problem in future. </w:t>
      </w:r>
    </w:p>
    <w:p w:rsidR="00183FC3" w:rsidRPr="00183FC3" w:rsidRDefault="00183FC3" w:rsidP="00B415FC">
      <w:pPr>
        <w:spacing w:after="0" w:line="240" w:lineRule="auto"/>
        <w:rPr>
          <w:bCs/>
          <w:color w:val="000000"/>
          <w:sz w:val="22"/>
          <w:szCs w:val="22"/>
        </w:rPr>
      </w:pPr>
    </w:p>
    <w:p w:rsidR="00C90D0C" w:rsidRPr="00C90D0C" w:rsidRDefault="00C14DB2" w:rsidP="009B6644">
      <w:pPr>
        <w:rPr>
          <w:i/>
          <w:iCs/>
          <w:color w:val="000000"/>
          <w:sz w:val="22"/>
          <w:szCs w:val="22"/>
        </w:rPr>
      </w:pPr>
      <w:r>
        <w:rPr>
          <w:color w:val="000000"/>
          <w:sz w:val="22"/>
          <w:szCs w:val="22"/>
        </w:rPr>
        <w:t>5.5</w:t>
      </w:r>
      <w:r w:rsidR="00BD0519">
        <w:rPr>
          <w:color w:val="000000"/>
          <w:sz w:val="22"/>
          <w:szCs w:val="22"/>
        </w:rPr>
        <w:t xml:space="preserve"> S</w:t>
      </w:r>
      <w:r w:rsidR="00B415FC" w:rsidRPr="00C14DB2">
        <w:rPr>
          <w:color w:val="000000"/>
          <w:sz w:val="22"/>
          <w:szCs w:val="22"/>
        </w:rPr>
        <w:t>tudents</w:t>
      </w:r>
      <w:r w:rsidR="00BD0519">
        <w:rPr>
          <w:color w:val="000000"/>
          <w:sz w:val="22"/>
          <w:szCs w:val="22"/>
        </w:rPr>
        <w:t xml:space="preserve"> </w:t>
      </w:r>
      <w:r w:rsidR="00B415FC" w:rsidRPr="00C14DB2">
        <w:rPr>
          <w:color w:val="000000"/>
          <w:sz w:val="22"/>
          <w:szCs w:val="22"/>
        </w:rPr>
        <w:t>found guilty of a first offence of academic misconduct</w:t>
      </w:r>
      <w:r w:rsidR="00BD0519">
        <w:rPr>
          <w:color w:val="000000"/>
          <w:sz w:val="22"/>
          <w:szCs w:val="22"/>
        </w:rPr>
        <w:t xml:space="preserve"> will</w:t>
      </w:r>
      <w:r w:rsidR="00B415FC" w:rsidRPr="00C14DB2">
        <w:rPr>
          <w:color w:val="000000"/>
          <w:sz w:val="22"/>
          <w:szCs w:val="22"/>
        </w:rPr>
        <w:t xml:space="preserve">, in conjunction with any other penalty imposed, be required to undertake an online course on Plagiarism Awareness, and pass an </w:t>
      </w:r>
      <w:r w:rsidR="00BD0519">
        <w:rPr>
          <w:color w:val="000000"/>
          <w:sz w:val="22"/>
          <w:szCs w:val="22"/>
        </w:rPr>
        <w:t xml:space="preserve">associated test </w:t>
      </w:r>
      <w:r w:rsidR="00B415FC" w:rsidRPr="00C14DB2">
        <w:rPr>
          <w:color w:val="000000"/>
          <w:sz w:val="22"/>
          <w:szCs w:val="22"/>
        </w:rPr>
        <w:t xml:space="preserve">in the same semester as the course was taken. </w:t>
      </w:r>
      <w:r w:rsidR="00BD0519">
        <w:rPr>
          <w:color w:val="000000"/>
          <w:sz w:val="22"/>
          <w:szCs w:val="22"/>
        </w:rPr>
        <w:t>[</w:t>
      </w:r>
      <w:r w:rsidR="00BD0519" w:rsidRPr="0066042D">
        <w:rPr>
          <w:b/>
          <w:bCs/>
          <w:i/>
          <w:iCs/>
          <w:color w:val="000000"/>
          <w:sz w:val="22"/>
          <w:szCs w:val="22"/>
        </w:rPr>
        <w:t xml:space="preserve">This is taken from a proposal from Bryan Dawson/Murray Thompson. The course could be based on, or incorporate, parts of the PLATO online resource, or it could be an adapted version of the English and Drama </w:t>
      </w:r>
      <w:r w:rsidR="00BD0519" w:rsidRPr="0066042D">
        <w:rPr>
          <w:b/>
          <w:bCs/>
          <w:i/>
          <w:iCs/>
          <w:sz w:val="22"/>
          <w:szCs w:val="22"/>
        </w:rPr>
        <w:t>Literacy Skills and Plagiarism Avoidance initiative</w:t>
      </w:r>
      <w:r w:rsidR="00C90D0C" w:rsidRPr="0066042D">
        <w:rPr>
          <w:b/>
          <w:bCs/>
          <w:i/>
          <w:iCs/>
          <w:sz w:val="22"/>
          <w:szCs w:val="22"/>
        </w:rPr>
        <w:t xml:space="preserve">. </w:t>
      </w:r>
      <w:r w:rsidR="00C90D0C" w:rsidRPr="0066042D">
        <w:rPr>
          <w:b/>
          <w:bCs/>
          <w:i/>
          <w:iCs/>
          <w:color w:val="000000"/>
          <w:sz w:val="22"/>
          <w:szCs w:val="22"/>
        </w:rPr>
        <w:t>However, some procedural issues would need to be resolved, e.g. Where the student belongs to a School/Department which has a plagiarism test in Part A which all students are required to complete, does the punitive test have any added value? Or does the existence of the School</w:t>
      </w:r>
      <w:r w:rsidR="009B6644" w:rsidRPr="0066042D">
        <w:rPr>
          <w:b/>
          <w:bCs/>
          <w:i/>
          <w:iCs/>
          <w:color w:val="000000"/>
          <w:sz w:val="22"/>
          <w:szCs w:val="22"/>
        </w:rPr>
        <w:t>/Departmental</w:t>
      </w:r>
      <w:r w:rsidR="00C90D0C" w:rsidRPr="0066042D">
        <w:rPr>
          <w:b/>
          <w:bCs/>
          <w:i/>
          <w:iCs/>
          <w:color w:val="000000"/>
          <w:sz w:val="22"/>
          <w:szCs w:val="22"/>
        </w:rPr>
        <w:t xml:space="preserve"> test provide prim</w:t>
      </w:r>
      <w:r w:rsidR="009B6644" w:rsidRPr="0066042D">
        <w:rPr>
          <w:b/>
          <w:bCs/>
          <w:i/>
          <w:iCs/>
          <w:color w:val="000000"/>
          <w:sz w:val="22"/>
          <w:szCs w:val="22"/>
        </w:rPr>
        <w:t>a facie evidence of intent? W</w:t>
      </w:r>
      <w:r w:rsidR="00C90D0C" w:rsidRPr="0066042D">
        <w:rPr>
          <w:b/>
          <w:bCs/>
          <w:i/>
          <w:iCs/>
          <w:color w:val="000000"/>
          <w:sz w:val="22"/>
          <w:szCs w:val="22"/>
        </w:rPr>
        <w:t xml:space="preserve">hat sanctions </w:t>
      </w:r>
      <w:r w:rsidR="009B6644" w:rsidRPr="0066042D">
        <w:rPr>
          <w:b/>
          <w:bCs/>
          <w:i/>
          <w:iCs/>
          <w:color w:val="000000"/>
          <w:sz w:val="22"/>
          <w:szCs w:val="22"/>
        </w:rPr>
        <w:t>would be available to make</w:t>
      </w:r>
      <w:r w:rsidR="00C90D0C" w:rsidRPr="0066042D">
        <w:rPr>
          <w:b/>
          <w:bCs/>
          <w:i/>
          <w:iCs/>
          <w:color w:val="000000"/>
          <w:sz w:val="22"/>
          <w:szCs w:val="22"/>
        </w:rPr>
        <w:t xml:space="preserve"> student</w:t>
      </w:r>
      <w:r w:rsidR="009B6644" w:rsidRPr="0066042D">
        <w:rPr>
          <w:b/>
          <w:bCs/>
          <w:i/>
          <w:iCs/>
          <w:color w:val="000000"/>
          <w:sz w:val="22"/>
          <w:szCs w:val="22"/>
        </w:rPr>
        <w:t>s</w:t>
      </w:r>
      <w:r w:rsidR="00C90D0C" w:rsidRPr="0066042D">
        <w:rPr>
          <w:b/>
          <w:bCs/>
          <w:i/>
          <w:iCs/>
          <w:color w:val="000000"/>
          <w:sz w:val="22"/>
          <w:szCs w:val="22"/>
        </w:rPr>
        <w:t xml:space="preserve"> complete the test, and what </w:t>
      </w:r>
      <w:r w:rsidR="009B6644" w:rsidRPr="0066042D">
        <w:rPr>
          <w:b/>
          <w:bCs/>
          <w:i/>
          <w:iCs/>
          <w:color w:val="000000"/>
          <w:sz w:val="22"/>
          <w:szCs w:val="22"/>
        </w:rPr>
        <w:t>could be done if they didn’t</w:t>
      </w:r>
      <w:r w:rsidR="00C90D0C" w:rsidRPr="0066042D">
        <w:rPr>
          <w:b/>
          <w:bCs/>
          <w:i/>
          <w:iCs/>
          <w:color w:val="000000"/>
          <w:sz w:val="22"/>
          <w:szCs w:val="22"/>
        </w:rPr>
        <w:t>?]</w:t>
      </w:r>
    </w:p>
    <w:p w:rsidR="00C90D0C" w:rsidRPr="00C90D0C" w:rsidRDefault="00C90D0C" w:rsidP="00083CA9">
      <w:pPr>
        <w:spacing w:after="0" w:line="240" w:lineRule="auto"/>
        <w:rPr>
          <w:i/>
          <w:iCs/>
          <w:color w:val="000000"/>
          <w:sz w:val="22"/>
          <w:szCs w:val="22"/>
        </w:rPr>
      </w:pPr>
    </w:p>
    <w:p w:rsidR="00C90D0C" w:rsidRDefault="00C90D0C" w:rsidP="00083CA9">
      <w:pPr>
        <w:spacing w:after="0" w:line="240" w:lineRule="auto"/>
        <w:rPr>
          <w:i/>
          <w:iCs/>
          <w:sz w:val="22"/>
          <w:szCs w:val="22"/>
        </w:rPr>
      </w:pPr>
    </w:p>
    <w:p w:rsidR="00C90D0C" w:rsidRDefault="00C90D0C" w:rsidP="00083CA9">
      <w:pPr>
        <w:spacing w:after="0" w:line="240" w:lineRule="auto"/>
        <w:rPr>
          <w:i/>
          <w:iCs/>
          <w:sz w:val="22"/>
          <w:szCs w:val="22"/>
        </w:rPr>
      </w:pPr>
    </w:p>
    <w:p w:rsidR="00BD0519" w:rsidRDefault="00BD0519" w:rsidP="00BD0519">
      <w:pPr>
        <w:spacing w:after="0" w:line="240" w:lineRule="auto"/>
        <w:rPr>
          <w:color w:val="000000"/>
          <w:sz w:val="22"/>
          <w:szCs w:val="22"/>
        </w:rPr>
      </w:pPr>
    </w:p>
    <w:p w:rsidR="00931FDC" w:rsidRDefault="00931FDC" w:rsidP="00A975B9">
      <w:pPr>
        <w:spacing w:after="0" w:line="240" w:lineRule="auto"/>
        <w:rPr>
          <w:bCs/>
          <w:color w:val="000000"/>
          <w:sz w:val="22"/>
          <w:szCs w:val="22"/>
        </w:rPr>
      </w:pPr>
    </w:p>
    <w:p w:rsidR="00931FDC" w:rsidRDefault="00931FDC" w:rsidP="00A975B9">
      <w:pPr>
        <w:spacing w:after="0" w:line="240" w:lineRule="auto"/>
        <w:rPr>
          <w:bCs/>
          <w:color w:val="000000"/>
          <w:sz w:val="22"/>
          <w:szCs w:val="22"/>
        </w:rPr>
      </w:pPr>
    </w:p>
    <w:p w:rsidR="002C261E" w:rsidRPr="00B96A39" w:rsidRDefault="002C261E" w:rsidP="00A975B9">
      <w:pPr>
        <w:spacing w:after="0" w:line="240" w:lineRule="auto"/>
        <w:rPr>
          <w:bCs/>
          <w:color w:val="000000"/>
          <w:sz w:val="22"/>
          <w:szCs w:val="22"/>
        </w:rPr>
      </w:pPr>
    </w:p>
    <w:sectPr w:rsidR="002C261E" w:rsidRPr="00B96A39" w:rsidSect="0067210F">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DC" w:rsidRDefault="00E226DC" w:rsidP="00D37571">
      <w:pPr>
        <w:spacing w:after="0" w:line="240" w:lineRule="auto"/>
      </w:pPr>
      <w:r>
        <w:separator/>
      </w:r>
    </w:p>
  </w:endnote>
  <w:endnote w:type="continuationSeparator" w:id="0">
    <w:p w:rsidR="00E226DC" w:rsidRDefault="00E226DC" w:rsidP="00D3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DC" w:rsidRDefault="00E226DC" w:rsidP="00D37571">
      <w:pPr>
        <w:spacing w:after="0" w:line="240" w:lineRule="auto"/>
      </w:pPr>
      <w:r>
        <w:separator/>
      </w:r>
    </w:p>
  </w:footnote>
  <w:footnote w:type="continuationSeparator" w:id="0">
    <w:p w:rsidR="00E226DC" w:rsidRDefault="00E226DC" w:rsidP="00D37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0F" w:rsidRPr="00F50932" w:rsidRDefault="0067210F" w:rsidP="0067210F">
    <w:pPr>
      <w:pStyle w:val="Header"/>
      <w:ind w:right="110"/>
      <w:jc w:val="right"/>
      <w:rPr>
        <w:color w:val="808080" w:themeColor="background1" w:themeShade="80"/>
        <w:sz w:val="22"/>
        <w:szCs w:val="22"/>
      </w:rPr>
    </w:pPr>
    <w:r w:rsidRPr="00F50932">
      <w:rPr>
        <w:color w:val="808080" w:themeColor="background1" w:themeShade="80"/>
        <w:sz w:val="22"/>
        <w:szCs w:val="22"/>
      </w:rPr>
      <w:t>LTC12-P68</w:t>
    </w:r>
  </w:p>
  <w:p w:rsidR="0067210F" w:rsidRPr="00F50932" w:rsidRDefault="0067210F" w:rsidP="0067210F">
    <w:pPr>
      <w:pStyle w:val="Header"/>
      <w:jc w:val="right"/>
      <w:rPr>
        <w:color w:val="808080" w:themeColor="background1" w:themeShade="80"/>
        <w:sz w:val="22"/>
        <w:szCs w:val="22"/>
      </w:rPr>
    </w:pPr>
    <w:r w:rsidRPr="00F50932">
      <w:rPr>
        <w:color w:val="808080" w:themeColor="background1" w:themeShade="80"/>
        <w:sz w:val="22"/>
        <w:szCs w:val="22"/>
      </w:rPr>
      <w:t>13 December 2012</w:t>
    </w:r>
  </w:p>
  <w:p w:rsidR="0067210F" w:rsidRDefault="00672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313"/>
    <w:multiLevelType w:val="hybridMultilevel"/>
    <w:tmpl w:val="B63CAE7C"/>
    <w:lvl w:ilvl="0" w:tplc="B06A4E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B943207"/>
    <w:multiLevelType w:val="hybridMultilevel"/>
    <w:tmpl w:val="01A6A3DA"/>
    <w:lvl w:ilvl="0" w:tplc="66AE76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DCC40B9"/>
    <w:multiLevelType w:val="hybridMultilevel"/>
    <w:tmpl w:val="11D433FA"/>
    <w:lvl w:ilvl="0" w:tplc="63A04C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EEA1BAA"/>
    <w:multiLevelType w:val="multilevel"/>
    <w:tmpl w:val="DB3E7EC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DCF2891"/>
    <w:multiLevelType w:val="hybridMultilevel"/>
    <w:tmpl w:val="048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E12BAB"/>
    <w:multiLevelType w:val="hybridMultilevel"/>
    <w:tmpl w:val="4FBAF546"/>
    <w:lvl w:ilvl="0" w:tplc="F822E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164D32"/>
    <w:multiLevelType w:val="hybridMultilevel"/>
    <w:tmpl w:val="0FD0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78524A"/>
    <w:multiLevelType w:val="hybridMultilevel"/>
    <w:tmpl w:val="4078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5967B8"/>
    <w:multiLevelType w:val="hybridMultilevel"/>
    <w:tmpl w:val="949A8254"/>
    <w:lvl w:ilvl="0" w:tplc="6E44B9EE">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5DB11B5"/>
    <w:multiLevelType w:val="multilevel"/>
    <w:tmpl w:val="03FE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BF47A3"/>
    <w:multiLevelType w:val="hybridMultilevel"/>
    <w:tmpl w:val="08A4D3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2"/>
  </w:num>
  <w:num w:numId="6">
    <w:abstractNumId w:val="0"/>
  </w:num>
  <w:num w:numId="7">
    <w:abstractNumId w:val="7"/>
  </w:num>
  <w:num w:numId="8">
    <w:abstractNumId w:val="9"/>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E5"/>
    <w:rsid w:val="00083CA9"/>
    <w:rsid w:val="000D3EF4"/>
    <w:rsid w:val="000D61BE"/>
    <w:rsid w:val="00112691"/>
    <w:rsid w:val="00183FC3"/>
    <w:rsid w:val="001A1826"/>
    <w:rsid w:val="001D5C46"/>
    <w:rsid w:val="00240491"/>
    <w:rsid w:val="00290B76"/>
    <w:rsid w:val="002A1E1B"/>
    <w:rsid w:val="002C261E"/>
    <w:rsid w:val="002E5489"/>
    <w:rsid w:val="0031443C"/>
    <w:rsid w:val="003A6264"/>
    <w:rsid w:val="003C1908"/>
    <w:rsid w:val="003D09DA"/>
    <w:rsid w:val="003F29E5"/>
    <w:rsid w:val="004A02E5"/>
    <w:rsid w:val="004A18AE"/>
    <w:rsid w:val="004A7FE5"/>
    <w:rsid w:val="00510617"/>
    <w:rsid w:val="00591F6C"/>
    <w:rsid w:val="005B683E"/>
    <w:rsid w:val="005C18E4"/>
    <w:rsid w:val="00630F71"/>
    <w:rsid w:val="0066042D"/>
    <w:rsid w:val="0067210F"/>
    <w:rsid w:val="006F1CEF"/>
    <w:rsid w:val="0072528F"/>
    <w:rsid w:val="007826AC"/>
    <w:rsid w:val="007B7DDD"/>
    <w:rsid w:val="007C50F3"/>
    <w:rsid w:val="00831A16"/>
    <w:rsid w:val="00864832"/>
    <w:rsid w:val="00867A76"/>
    <w:rsid w:val="008951E3"/>
    <w:rsid w:val="00931FDC"/>
    <w:rsid w:val="00942CFF"/>
    <w:rsid w:val="00990127"/>
    <w:rsid w:val="0099178B"/>
    <w:rsid w:val="009B6644"/>
    <w:rsid w:val="009D7AF7"/>
    <w:rsid w:val="00A975B9"/>
    <w:rsid w:val="00B415FC"/>
    <w:rsid w:val="00B96A39"/>
    <w:rsid w:val="00BD0519"/>
    <w:rsid w:val="00C14DB2"/>
    <w:rsid w:val="00C17287"/>
    <w:rsid w:val="00C33B16"/>
    <w:rsid w:val="00C45F25"/>
    <w:rsid w:val="00C832D0"/>
    <w:rsid w:val="00C90D0C"/>
    <w:rsid w:val="00CB3623"/>
    <w:rsid w:val="00D242FD"/>
    <w:rsid w:val="00D37571"/>
    <w:rsid w:val="00D63FF4"/>
    <w:rsid w:val="00DB78D1"/>
    <w:rsid w:val="00DF038D"/>
    <w:rsid w:val="00DF0CD9"/>
    <w:rsid w:val="00E02F7A"/>
    <w:rsid w:val="00E221F7"/>
    <w:rsid w:val="00E226DC"/>
    <w:rsid w:val="00F04E7D"/>
    <w:rsid w:val="00F43F03"/>
    <w:rsid w:val="00F50932"/>
    <w:rsid w:val="00F54A63"/>
    <w:rsid w:val="00FC1400"/>
    <w:rsid w:val="00FC5D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FE5"/>
    <w:pPr>
      <w:ind w:left="720"/>
      <w:contextualSpacing/>
    </w:pPr>
  </w:style>
  <w:style w:type="paragraph" w:customStyle="1" w:styleId="Default">
    <w:name w:val="Default"/>
    <w:rsid w:val="00C45F2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37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571"/>
    <w:rPr>
      <w:rFonts w:ascii="Arial" w:hAnsi="Arial" w:cs="Arial"/>
      <w:sz w:val="24"/>
      <w:szCs w:val="24"/>
    </w:rPr>
  </w:style>
  <w:style w:type="paragraph" w:styleId="Footer">
    <w:name w:val="footer"/>
    <w:basedOn w:val="Normal"/>
    <w:link w:val="FooterChar"/>
    <w:uiPriority w:val="99"/>
    <w:unhideWhenUsed/>
    <w:rsid w:val="00D37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571"/>
    <w:rPr>
      <w:rFonts w:ascii="Arial" w:hAnsi="Arial" w:cs="Arial"/>
      <w:sz w:val="24"/>
      <w:szCs w:val="24"/>
    </w:rPr>
  </w:style>
  <w:style w:type="paragraph" w:styleId="CommentText">
    <w:name w:val="annotation text"/>
    <w:basedOn w:val="Normal"/>
    <w:link w:val="CommentTextChar"/>
    <w:uiPriority w:val="99"/>
    <w:semiHidden/>
    <w:unhideWhenUsed/>
    <w:rsid w:val="00510617"/>
    <w:pPr>
      <w:spacing w:line="240" w:lineRule="auto"/>
    </w:pPr>
    <w:rPr>
      <w:sz w:val="20"/>
      <w:szCs w:val="20"/>
    </w:rPr>
  </w:style>
  <w:style w:type="character" w:customStyle="1" w:styleId="CommentTextChar">
    <w:name w:val="Comment Text Char"/>
    <w:basedOn w:val="DefaultParagraphFont"/>
    <w:link w:val="CommentText"/>
    <w:uiPriority w:val="99"/>
    <w:semiHidden/>
    <w:rsid w:val="00510617"/>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FE5"/>
    <w:pPr>
      <w:ind w:left="720"/>
      <w:contextualSpacing/>
    </w:pPr>
  </w:style>
  <w:style w:type="paragraph" w:customStyle="1" w:styleId="Default">
    <w:name w:val="Default"/>
    <w:rsid w:val="00C45F2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37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571"/>
    <w:rPr>
      <w:rFonts w:ascii="Arial" w:hAnsi="Arial" w:cs="Arial"/>
      <w:sz w:val="24"/>
      <w:szCs w:val="24"/>
    </w:rPr>
  </w:style>
  <w:style w:type="paragraph" w:styleId="Footer">
    <w:name w:val="footer"/>
    <w:basedOn w:val="Normal"/>
    <w:link w:val="FooterChar"/>
    <w:uiPriority w:val="99"/>
    <w:unhideWhenUsed/>
    <w:rsid w:val="00D37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571"/>
    <w:rPr>
      <w:rFonts w:ascii="Arial" w:hAnsi="Arial" w:cs="Arial"/>
      <w:sz w:val="24"/>
      <w:szCs w:val="24"/>
    </w:rPr>
  </w:style>
  <w:style w:type="paragraph" w:styleId="CommentText">
    <w:name w:val="annotation text"/>
    <w:basedOn w:val="Normal"/>
    <w:link w:val="CommentTextChar"/>
    <w:uiPriority w:val="99"/>
    <w:semiHidden/>
    <w:unhideWhenUsed/>
    <w:rsid w:val="00510617"/>
    <w:pPr>
      <w:spacing w:line="240" w:lineRule="auto"/>
    </w:pPr>
    <w:rPr>
      <w:sz w:val="20"/>
      <w:szCs w:val="20"/>
    </w:rPr>
  </w:style>
  <w:style w:type="character" w:customStyle="1" w:styleId="CommentTextChar">
    <w:name w:val="Comment Text Char"/>
    <w:basedOn w:val="DefaultParagraphFont"/>
    <w:link w:val="CommentText"/>
    <w:uiPriority w:val="99"/>
    <w:semiHidden/>
    <w:rsid w:val="0051061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8075">
      <w:bodyDiv w:val="1"/>
      <w:marLeft w:val="0"/>
      <w:marRight w:val="0"/>
      <w:marTop w:val="0"/>
      <w:marBottom w:val="0"/>
      <w:divBdr>
        <w:top w:val="none" w:sz="0" w:space="0" w:color="auto"/>
        <w:left w:val="none" w:sz="0" w:space="0" w:color="auto"/>
        <w:bottom w:val="none" w:sz="0" w:space="0" w:color="auto"/>
        <w:right w:val="none" w:sz="0" w:space="0" w:color="auto"/>
      </w:divBdr>
    </w:div>
    <w:div w:id="1320110887">
      <w:bodyDiv w:val="1"/>
      <w:marLeft w:val="0"/>
      <w:marRight w:val="0"/>
      <w:marTop w:val="0"/>
      <w:marBottom w:val="0"/>
      <w:divBdr>
        <w:top w:val="none" w:sz="0" w:space="0" w:color="auto"/>
        <w:left w:val="none" w:sz="0" w:space="0" w:color="auto"/>
        <w:bottom w:val="none" w:sz="0" w:space="0" w:color="auto"/>
        <w:right w:val="none" w:sz="0" w:space="0" w:color="auto"/>
      </w:divBdr>
    </w:div>
    <w:div w:id="1324701525">
      <w:bodyDiv w:val="1"/>
      <w:marLeft w:val="0"/>
      <w:marRight w:val="0"/>
      <w:marTop w:val="0"/>
      <w:marBottom w:val="0"/>
      <w:divBdr>
        <w:top w:val="none" w:sz="0" w:space="0" w:color="auto"/>
        <w:left w:val="none" w:sz="0" w:space="0" w:color="auto"/>
        <w:bottom w:val="none" w:sz="0" w:space="0" w:color="auto"/>
        <w:right w:val="none" w:sz="0" w:space="0" w:color="auto"/>
      </w:divBdr>
      <w:divsChild>
        <w:div w:id="288782109">
          <w:marLeft w:val="0"/>
          <w:marRight w:val="0"/>
          <w:marTop w:val="0"/>
          <w:marBottom w:val="0"/>
          <w:divBdr>
            <w:top w:val="none" w:sz="0" w:space="0" w:color="auto"/>
            <w:left w:val="none" w:sz="0" w:space="0" w:color="auto"/>
            <w:bottom w:val="none" w:sz="0" w:space="0" w:color="auto"/>
            <w:right w:val="none" w:sz="0" w:space="0" w:color="auto"/>
          </w:divBdr>
          <w:divsChild>
            <w:div w:id="4526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dcterms:created xsi:type="dcterms:W3CDTF">2012-12-05T13:54:00Z</dcterms:created>
  <dcterms:modified xsi:type="dcterms:W3CDTF">2012-12-05T13:54:00Z</dcterms:modified>
</cp:coreProperties>
</file>