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F9" w:rsidRDefault="009B0FF9" w:rsidP="009B0FF9">
      <w:pPr>
        <w:rPr>
          <w:b/>
          <w:bCs/>
          <w:sz w:val="26"/>
        </w:rPr>
      </w:pPr>
      <w:r>
        <w:rPr>
          <w:b/>
          <w:bCs/>
          <w:sz w:val="26"/>
        </w:rPr>
        <w:t>Learning and Teaching Committee</w:t>
      </w:r>
      <w:bookmarkStart w:id="0" w:name="_GoBack"/>
      <w:bookmarkEnd w:id="0"/>
    </w:p>
    <w:p w:rsidR="009B0FF9" w:rsidRDefault="009B0FF9" w:rsidP="009B0FF9">
      <w:pPr>
        <w:spacing w:after="0" w:line="240" w:lineRule="auto"/>
        <w:rPr>
          <w:sz w:val="20"/>
          <w:szCs w:val="20"/>
        </w:rPr>
      </w:pPr>
      <w:r>
        <w:rPr>
          <w:b/>
          <w:bCs/>
          <w:sz w:val="20"/>
          <w:szCs w:val="20"/>
        </w:rPr>
        <w:t>Subject:</w:t>
      </w:r>
      <w:r>
        <w:rPr>
          <w:sz w:val="20"/>
          <w:szCs w:val="20"/>
        </w:rPr>
        <w:tab/>
        <w:t>Use of Contextual Data</w:t>
      </w:r>
      <w:r w:rsidR="003E63AF">
        <w:rPr>
          <w:sz w:val="20"/>
          <w:szCs w:val="20"/>
        </w:rPr>
        <w:t xml:space="preserve"> in the Admissions Process</w:t>
      </w:r>
    </w:p>
    <w:p w:rsidR="009B0FF9" w:rsidRDefault="009B0FF9" w:rsidP="009B0FF9">
      <w:pPr>
        <w:spacing w:after="0" w:line="240" w:lineRule="auto"/>
        <w:rPr>
          <w:sz w:val="20"/>
          <w:szCs w:val="20"/>
        </w:rPr>
      </w:pPr>
    </w:p>
    <w:p w:rsidR="009B0FF9" w:rsidRDefault="009B0FF9" w:rsidP="009B0FF9">
      <w:pPr>
        <w:tabs>
          <w:tab w:val="left" w:pos="1170"/>
        </w:tabs>
        <w:spacing w:after="0" w:line="240" w:lineRule="auto"/>
        <w:outlineLvl w:val="0"/>
        <w:rPr>
          <w:bCs/>
          <w:sz w:val="20"/>
          <w:szCs w:val="20"/>
        </w:rPr>
      </w:pPr>
      <w:r>
        <w:rPr>
          <w:b/>
          <w:sz w:val="20"/>
          <w:szCs w:val="20"/>
        </w:rPr>
        <w:t xml:space="preserve">Origin:      </w:t>
      </w:r>
      <w:r>
        <w:rPr>
          <w:b/>
          <w:sz w:val="20"/>
          <w:szCs w:val="20"/>
        </w:rPr>
        <w:tab/>
      </w:r>
      <w:r>
        <w:rPr>
          <w:b/>
          <w:sz w:val="20"/>
          <w:szCs w:val="20"/>
        </w:rPr>
        <w:tab/>
      </w:r>
      <w:r>
        <w:rPr>
          <w:bCs/>
          <w:sz w:val="20"/>
          <w:szCs w:val="20"/>
        </w:rPr>
        <w:t>Neil Raven, Student Outreach and Recruitment Manager</w:t>
      </w:r>
    </w:p>
    <w:p w:rsidR="001E35DE" w:rsidRDefault="001E35DE" w:rsidP="009B0FF9">
      <w:pPr>
        <w:tabs>
          <w:tab w:val="left" w:pos="1170"/>
        </w:tabs>
        <w:spacing w:after="0" w:line="240" w:lineRule="auto"/>
        <w:outlineLvl w:val="0"/>
        <w:rPr>
          <w:bCs/>
          <w:sz w:val="20"/>
          <w:szCs w:val="20"/>
        </w:rPr>
      </w:pPr>
      <w:r>
        <w:rPr>
          <w:bCs/>
          <w:sz w:val="20"/>
          <w:szCs w:val="20"/>
        </w:rPr>
        <w:tab/>
      </w:r>
      <w:r>
        <w:rPr>
          <w:bCs/>
          <w:sz w:val="20"/>
          <w:szCs w:val="20"/>
        </w:rPr>
        <w:tab/>
        <w:t>Veronica Hammond, Access Administrator</w:t>
      </w:r>
    </w:p>
    <w:p w:rsidR="001E35DE" w:rsidRDefault="001E35DE" w:rsidP="009B0FF9">
      <w:pPr>
        <w:tabs>
          <w:tab w:val="left" w:pos="1170"/>
        </w:tabs>
        <w:spacing w:after="0" w:line="240" w:lineRule="auto"/>
        <w:outlineLvl w:val="0"/>
        <w:rPr>
          <w:sz w:val="20"/>
          <w:szCs w:val="20"/>
        </w:rPr>
      </w:pPr>
      <w:r>
        <w:rPr>
          <w:bCs/>
          <w:sz w:val="20"/>
          <w:szCs w:val="20"/>
        </w:rPr>
        <w:tab/>
      </w:r>
      <w:r>
        <w:rPr>
          <w:bCs/>
          <w:sz w:val="20"/>
          <w:szCs w:val="20"/>
        </w:rPr>
        <w:tab/>
        <w:t>Chris Carpenter, Undergraduate Admissions Manager</w:t>
      </w:r>
    </w:p>
    <w:p w:rsidR="009B0FF9" w:rsidRDefault="009B0FF9" w:rsidP="009B0FF9">
      <w:pPr>
        <w:tabs>
          <w:tab w:val="left" w:pos="1170"/>
          <w:tab w:val="left" w:pos="8910"/>
        </w:tabs>
        <w:spacing w:after="0" w:line="240" w:lineRule="auto"/>
        <w:rPr>
          <w:b/>
          <w:sz w:val="20"/>
          <w:szCs w:val="20"/>
          <w:u w:val="single"/>
        </w:rPr>
      </w:pPr>
    </w:p>
    <w:p w:rsidR="009B0FF9" w:rsidRDefault="009B0FF9" w:rsidP="009B0FF9">
      <w:pPr>
        <w:tabs>
          <w:tab w:val="left" w:pos="1170"/>
          <w:tab w:val="left" w:pos="8910"/>
        </w:tabs>
        <w:spacing w:after="0" w:line="240" w:lineRule="auto"/>
        <w:rPr>
          <w:b/>
          <w:sz w:val="20"/>
          <w:szCs w:val="20"/>
        </w:rPr>
      </w:pPr>
      <w:r>
        <w:rPr>
          <w:b/>
          <w:sz w:val="20"/>
          <w:szCs w:val="20"/>
          <w:u w:val="single"/>
        </w:rPr>
        <w:t>_________________________________________________________________________________</w:t>
      </w:r>
    </w:p>
    <w:p w:rsidR="009B0FF9" w:rsidRDefault="009B0FF9" w:rsidP="009B0FF9">
      <w:pPr>
        <w:tabs>
          <w:tab w:val="left" w:pos="1170"/>
        </w:tabs>
        <w:spacing w:after="0" w:line="240" w:lineRule="auto"/>
        <w:ind w:left="1985" w:hanging="1985"/>
        <w:outlineLvl w:val="0"/>
        <w:rPr>
          <w:b/>
          <w:sz w:val="20"/>
          <w:szCs w:val="20"/>
        </w:rPr>
      </w:pPr>
    </w:p>
    <w:p w:rsidR="003E63AF" w:rsidRDefault="009B0FF9" w:rsidP="001E35DE">
      <w:pPr>
        <w:tabs>
          <w:tab w:val="left" w:pos="2127"/>
        </w:tabs>
        <w:spacing w:after="0" w:line="240" w:lineRule="auto"/>
        <w:ind w:left="2127" w:hanging="2127"/>
        <w:outlineLvl w:val="0"/>
        <w:rPr>
          <w:color w:val="000000" w:themeColor="text1"/>
          <w:sz w:val="20"/>
          <w:szCs w:val="20"/>
        </w:rPr>
      </w:pPr>
      <w:r>
        <w:rPr>
          <w:b/>
          <w:sz w:val="20"/>
          <w:szCs w:val="20"/>
        </w:rPr>
        <w:t>Executive Summary:</w:t>
      </w:r>
      <w:r w:rsidR="003E63AF">
        <w:rPr>
          <w:color w:val="000000" w:themeColor="text1"/>
          <w:sz w:val="20"/>
          <w:szCs w:val="20"/>
        </w:rPr>
        <w:t xml:space="preserve"> </w:t>
      </w:r>
      <w:r w:rsidR="0066078C">
        <w:rPr>
          <w:color w:val="000000" w:themeColor="text1"/>
          <w:sz w:val="20"/>
          <w:szCs w:val="20"/>
        </w:rPr>
        <w:tab/>
      </w:r>
      <w:r w:rsidR="003E63AF">
        <w:rPr>
          <w:color w:val="000000" w:themeColor="text1"/>
          <w:sz w:val="20"/>
          <w:szCs w:val="20"/>
        </w:rPr>
        <w:t xml:space="preserve">The University’s Access Agreement states an intention to use contextual data in the admissions process.  This paper summarises the rationale behind this </w:t>
      </w:r>
      <w:r w:rsidR="0066078C">
        <w:rPr>
          <w:color w:val="000000" w:themeColor="text1"/>
          <w:sz w:val="20"/>
          <w:szCs w:val="20"/>
        </w:rPr>
        <w:t xml:space="preserve">intention </w:t>
      </w:r>
      <w:r w:rsidR="003E63AF">
        <w:rPr>
          <w:color w:val="000000" w:themeColor="text1"/>
          <w:sz w:val="20"/>
          <w:szCs w:val="20"/>
        </w:rPr>
        <w:t xml:space="preserve">and the type of data </w:t>
      </w:r>
      <w:r w:rsidR="0066078C">
        <w:rPr>
          <w:color w:val="000000" w:themeColor="text1"/>
          <w:sz w:val="20"/>
          <w:szCs w:val="20"/>
        </w:rPr>
        <w:t xml:space="preserve">to </w:t>
      </w:r>
      <w:r w:rsidR="003E63AF">
        <w:rPr>
          <w:color w:val="000000" w:themeColor="text1"/>
          <w:sz w:val="20"/>
          <w:szCs w:val="20"/>
        </w:rPr>
        <w:t>be used</w:t>
      </w:r>
      <w:r w:rsidR="0066078C">
        <w:rPr>
          <w:color w:val="000000" w:themeColor="text1"/>
          <w:sz w:val="20"/>
          <w:szCs w:val="20"/>
        </w:rPr>
        <w:t xml:space="preserve">, before </w:t>
      </w:r>
      <w:r w:rsidR="003E63AF">
        <w:rPr>
          <w:color w:val="000000" w:themeColor="text1"/>
          <w:sz w:val="20"/>
          <w:szCs w:val="20"/>
        </w:rPr>
        <w:t xml:space="preserve">outlining </w:t>
      </w:r>
      <w:r w:rsidR="0066078C">
        <w:rPr>
          <w:color w:val="000000" w:themeColor="text1"/>
          <w:sz w:val="20"/>
          <w:szCs w:val="20"/>
        </w:rPr>
        <w:t>how this process will be implemented and evaluated</w:t>
      </w:r>
      <w:r w:rsidR="003E63AF">
        <w:rPr>
          <w:color w:val="000000" w:themeColor="text1"/>
          <w:sz w:val="20"/>
          <w:szCs w:val="20"/>
        </w:rPr>
        <w:t xml:space="preserve">.  </w:t>
      </w:r>
    </w:p>
    <w:p w:rsidR="003E63AF" w:rsidRDefault="003E63AF" w:rsidP="003E63AF">
      <w:pPr>
        <w:tabs>
          <w:tab w:val="left" w:pos="1170"/>
        </w:tabs>
        <w:spacing w:after="0" w:line="240" w:lineRule="auto"/>
        <w:ind w:left="1985" w:hanging="1985"/>
        <w:outlineLvl w:val="0"/>
        <w:rPr>
          <w:color w:val="000000" w:themeColor="text1"/>
          <w:sz w:val="20"/>
          <w:szCs w:val="20"/>
        </w:rPr>
      </w:pPr>
    </w:p>
    <w:p w:rsidR="009B0FF9" w:rsidRDefault="009B0FF9" w:rsidP="001E35DE">
      <w:pPr>
        <w:spacing w:after="0" w:line="240" w:lineRule="auto"/>
        <w:rPr>
          <w:b/>
          <w:sz w:val="20"/>
          <w:szCs w:val="20"/>
        </w:rPr>
      </w:pPr>
    </w:p>
    <w:p w:rsidR="009B0FF9" w:rsidRDefault="009B0FF9" w:rsidP="009B0FF9">
      <w:pPr>
        <w:spacing w:after="0" w:line="240" w:lineRule="auto"/>
        <w:ind w:left="1985" w:hanging="1985"/>
        <w:rPr>
          <w:bCs/>
          <w:sz w:val="20"/>
          <w:szCs w:val="20"/>
        </w:rPr>
      </w:pPr>
      <w:r>
        <w:rPr>
          <w:b/>
          <w:sz w:val="20"/>
          <w:szCs w:val="20"/>
        </w:rPr>
        <w:t xml:space="preserve">Action Required: </w:t>
      </w:r>
      <w:r>
        <w:rPr>
          <w:bCs/>
          <w:sz w:val="20"/>
          <w:szCs w:val="20"/>
        </w:rPr>
        <w:tab/>
      </w:r>
      <w:r w:rsidR="0066078C">
        <w:rPr>
          <w:bCs/>
          <w:sz w:val="20"/>
          <w:szCs w:val="20"/>
        </w:rPr>
        <w:tab/>
      </w:r>
      <w:r w:rsidR="005615F7">
        <w:rPr>
          <w:bCs/>
          <w:sz w:val="20"/>
          <w:szCs w:val="20"/>
        </w:rPr>
        <w:t>For information only.  No action</w:t>
      </w:r>
      <w:r w:rsidR="0066078C">
        <w:rPr>
          <w:bCs/>
          <w:sz w:val="20"/>
          <w:szCs w:val="20"/>
        </w:rPr>
        <w:t xml:space="preserve"> is</w:t>
      </w:r>
      <w:r w:rsidR="005615F7">
        <w:rPr>
          <w:bCs/>
          <w:sz w:val="20"/>
          <w:szCs w:val="20"/>
        </w:rPr>
        <w:t xml:space="preserve"> required.</w:t>
      </w:r>
    </w:p>
    <w:p w:rsidR="009B0FF9" w:rsidRDefault="009B0FF9" w:rsidP="009B0FF9">
      <w:pPr>
        <w:spacing w:after="0" w:line="240" w:lineRule="auto"/>
        <w:rPr>
          <w:bCs/>
          <w:color w:val="000000"/>
          <w:sz w:val="20"/>
          <w:szCs w:val="20"/>
        </w:rPr>
      </w:pPr>
    </w:p>
    <w:p w:rsidR="009B0FF9" w:rsidRPr="009B0FF9" w:rsidRDefault="009B0FF9" w:rsidP="009B0FF9">
      <w:pPr>
        <w:spacing w:after="0" w:line="240" w:lineRule="auto"/>
        <w:rPr>
          <w:b/>
          <w:color w:val="000000"/>
          <w:sz w:val="20"/>
          <w:szCs w:val="20"/>
          <w:u w:val="single"/>
        </w:rPr>
      </w:pPr>
      <w:r>
        <w:rPr>
          <w:b/>
          <w:color w:val="000000"/>
          <w:sz w:val="20"/>
          <w:szCs w:val="20"/>
          <w:u w:val="single"/>
        </w:rPr>
        <w:t>_________________________________________________________________________________</w:t>
      </w:r>
    </w:p>
    <w:p w:rsidR="009B0FF9" w:rsidRDefault="009B0FF9" w:rsidP="009B0FF9">
      <w:pPr>
        <w:rPr>
          <w:sz w:val="20"/>
          <w:szCs w:val="20"/>
          <w:u w:val="single"/>
        </w:rPr>
      </w:pPr>
    </w:p>
    <w:p w:rsidR="00950B83" w:rsidRPr="001E35DE" w:rsidRDefault="00F51BE4" w:rsidP="009B0FF9">
      <w:pPr>
        <w:rPr>
          <w:b/>
          <w:bCs/>
          <w:sz w:val="20"/>
          <w:szCs w:val="20"/>
        </w:rPr>
      </w:pPr>
      <w:r w:rsidRPr="001E35DE">
        <w:rPr>
          <w:b/>
          <w:bCs/>
          <w:sz w:val="20"/>
          <w:szCs w:val="20"/>
        </w:rPr>
        <w:t>General</w:t>
      </w:r>
    </w:p>
    <w:p w:rsidR="003652E4" w:rsidRPr="00C71A9C" w:rsidRDefault="00212D4D" w:rsidP="00695514">
      <w:pPr>
        <w:jc w:val="both"/>
        <w:rPr>
          <w:sz w:val="20"/>
          <w:szCs w:val="20"/>
        </w:rPr>
      </w:pPr>
      <w:r w:rsidRPr="007700DF">
        <w:rPr>
          <w:sz w:val="20"/>
          <w:szCs w:val="20"/>
        </w:rPr>
        <w:t xml:space="preserve">Loughborough University’s Access Agreement for 2012 – 2013 states that the </w:t>
      </w:r>
      <w:r w:rsidR="00DA083C">
        <w:rPr>
          <w:sz w:val="20"/>
          <w:szCs w:val="20"/>
        </w:rPr>
        <w:t>U</w:t>
      </w:r>
      <w:r w:rsidRPr="007700DF">
        <w:rPr>
          <w:sz w:val="20"/>
          <w:szCs w:val="20"/>
        </w:rPr>
        <w:t xml:space="preserve">niversity </w:t>
      </w:r>
      <w:r w:rsidR="00381C05" w:rsidRPr="007700DF">
        <w:rPr>
          <w:sz w:val="20"/>
          <w:szCs w:val="20"/>
        </w:rPr>
        <w:t xml:space="preserve">will use </w:t>
      </w:r>
      <w:r w:rsidRPr="00695514">
        <w:rPr>
          <w:sz w:val="20"/>
          <w:szCs w:val="20"/>
        </w:rPr>
        <w:t xml:space="preserve">contextual data within </w:t>
      </w:r>
      <w:r w:rsidR="003652E4" w:rsidRPr="00695514">
        <w:rPr>
          <w:sz w:val="20"/>
          <w:szCs w:val="20"/>
        </w:rPr>
        <w:t xml:space="preserve">the </w:t>
      </w:r>
      <w:r w:rsidRPr="00695514">
        <w:rPr>
          <w:sz w:val="20"/>
          <w:szCs w:val="20"/>
        </w:rPr>
        <w:t xml:space="preserve">admissions </w:t>
      </w:r>
      <w:r w:rsidR="00DA083C" w:rsidRPr="00695514">
        <w:rPr>
          <w:sz w:val="20"/>
          <w:szCs w:val="20"/>
        </w:rPr>
        <w:t xml:space="preserve">process </w:t>
      </w:r>
      <w:r w:rsidRPr="00695514">
        <w:rPr>
          <w:sz w:val="20"/>
          <w:szCs w:val="20"/>
        </w:rPr>
        <w:t>to inform decisions ma</w:t>
      </w:r>
      <w:r w:rsidR="000F7876" w:rsidRPr="00695514">
        <w:rPr>
          <w:sz w:val="20"/>
          <w:szCs w:val="20"/>
        </w:rPr>
        <w:t>de on individual applications.</w:t>
      </w:r>
      <w:r w:rsidR="000F7876" w:rsidRPr="007700DF">
        <w:rPr>
          <w:sz w:val="20"/>
          <w:szCs w:val="20"/>
        </w:rPr>
        <w:t xml:space="preserve"> </w:t>
      </w:r>
      <w:r w:rsidR="003652E4">
        <w:rPr>
          <w:sz w:val="20"/>
          <w:szCs w:val="20"/>
        </w:rPr>
        <w:t xml:space="preserve"> </w:t>
      </w:r>
      <w:r w:rsidR="003652E4" w:rsidRPr="00C71A9C">
        <w:rPr>
          <w:sz w:val="20"/>
          <w:szCs w:val="20"/>
        </w:rPr>
        <w:t xml:space="preserve">The </w:t>
      </w:r>
      <w:r w:rsidR="00695514">
        <w:rPr>
          <w:sz w:val="20"/>
          <w:szCs w:val="20"/>
        </w:rPr>
        <w:t>use of</w:t>
      </w:r>
      <w:r w:rsidR="003652E4" w:rsidRPr="00C71A9C">
        <w:rPr>
          <w:sz w:val="20"/>
          <w:szCs w:val="20"/>
        </w:rPr>
        <w:t xml:space="preserve"> contextual data in this process </w:t>
      </w:r>
      <w:r w:rsidR="00695514">
        <w:rPr>
          <w:sz w:val="20"/>
          <w:szCs w:val="20"/>
        </w:rPr>
        <w:t>ensures</w:t>
      </w:r>
      <w:r w:rsidR="004F32D6">
        <w:rPr>
          <w:sz w:val="20"/>
          <w:szCs w:val="20"/>
        </w:rPr>
        <w:t xml:space="preserve"> that</w:t>
      </w:r>
      <w:r w:rsidR="003E63AF">
        <w:rPr>
          <w:sz w:val="20"/>
          <w:szCs w:val="20"/>
        </w:rPr>
        <w:t>:</w:t>
      </w:r>
      <w:r w:rsidR="00AE5725">
        <w:rPr>
          <w:sz w:val="20"/>
          <w:szCs w:val="20"/>
        </w:rPr>
        <w:t xml:space="preserve"> </w:t>
      </w:r>
    </w:p>
    <w:p w:rsidR="003652E4" w:rsidRPr="001D04D3" w:rsidRDefault="003652E4" w:rsidP="006C162A">
      <w:pPr>
        <w:pStyle w:val="ListParagraph"/>
        <w:numPr>
          <w:ilvl w:val="0"/>
          <w:numId w:val="2"/>
        </w:numPr>
        <w:jc w:val="both"/>
        <w:rPr>
          <w:sz w:val="20"/>
          <w:szCs w:val="20"/>
        </w:rPr>
      </w:pPr>
      <w:r w:rsidRPr="001D04D3">
        <w:rPr>
          <w:sz w:val="20"/>
          <w:szCs w:val="20"/>
        </w:rPr>
        <w:t>A more holistic assessment of applica</w:t>
      </w:r>
      <w:r w:rsidR="0028749A">
        <w:rPr>
          <w:sz w:val="20"/>
          <w:szCs w:val="20"/>
        </w:rPr>
        <w:t>n</w:t>
      </w:r>
      <w:r w:rsidRPr="001D04D3">
        <w:rPr>
          <w:sz w:val="20"/>
          <w:szCs w:val="20"/>
        </w:rPr>
        <w:t>t</w:t>
      </w:r>
      <w:r w:rsidR="00695514">
        <w:rPr>
          <w:sz w:val="20"/>
          <w:szCs w:val="20"/>
        </w:rPr>
        <w:t>s is made</w:t>
      </w:r>
      <w:r w:rsidRPr="001D04D3">
        <w:rPr>
          <w:sz w:val="20"/>
          <w:szCs w:val="20"/>
        </w:rPr>
        <w:t xml:space="preserve"> by setting their application in context</w:t>
      </w:r>
    </w:p>
    <w:p w:rsidR="003652E4" w:rsidRPr="001D04D3" w:rsidRDefault="003652E4" w:rsidP="003652E4">
      <w:pPr>
        <w:pStyle w:val="ListParagraph"/>
        <w:numPr>
          <w:ilvl w:val="0"/>
          <w:numId w:val="2"/>
        </w:numPr>
        <w:jc w:val="both"/>
        <w:rPr>
          <w:sz w:val="20"/>
          <w:szCs w:val="20"/>
        </w:rPr>
      </w:pPr>
      <w:r w:rsidRPr="001D04D3">
        <w:rPr>
          <w:sz w:val="20"/>
          <w:szCs w:val="20"/>
        </w:rPr>
        <w:t>Particular groups of applicants are not disadvantaged during the application process</w:t>
      </w:r>
    </w:p>
    <w:p w:rsidR="003652E4" w:rsidRPr="001D04D3" w:rsidRDefault="003652E4" w:rsidP="003652E4">
      <w:pPr>
        <w:pStyle w:val="ListParagraph"/>
        <w:numPr>
          <w:ilvl w:val="0"/>
          <w:numId w:val="2"/>
        </w:numPr>
        <w:jc w:val="both"/>
        <w:rPr>
          <w:sz w:val="20"/>
          <w:szCs w:val="20"/>
        </w:rPr>
      </w:pPr>
      <w:r w:rsidRPr="001D04D3">
        <w:rPr>
          <w:sz w:val="20"/>
          <w:szCs w:val="20"/>
        </w:rPr>
        <w:t>To meet the commitment stipulated in the Access Agreements, including working towards stated milestones and targets</w:t>
      </w:r>
    </w:p>
    <w:p w:rsidR="003652E4" w:rsidRPr="002B7FC1" w:rsidRDefault="003652E4" w:rsidP="003652E4">
      <w:pPr>
        <w:pStyle w:val="ListParagraph"/>
        <w:numPr>
          <w:ilvl w:val="0"/>
          <w:numId w:val="2"/>
        </w:numPr>
        <w:jc w:val="both"/>
        <w:rPr>
          <w:sz w:val="20"/>
          <w:szCs w:val="20"/>
        </w:rPr>
      </w:pPr>
      <w:r w:rsidRPr="001D04D3">
        <w:rPr>
          <w:sz w:val="20"/>
          <w:szCs w:val="20"/>
        </w:rPr>
        <w:t>The opportunity to identify candidates with the potential to develop at Loughborough and achieve high class degrees.</w:t>
      </w:r>
    </w:p>
    <w:p w:rsidR="00F51BE4" w:rsidRPr="001E35DE" w:rsidRDefault="00381C05" w:rsidP="00F51BE4">
      <w:pPr>
        <w:jc w:val="both"/>
        <w:rPr>
          <w:b/>
          <w:bCs/>
          <w:sz w:val="20"/>
          <w:szCs w:val="20"/>
        </w:rPr>
      </w:pPr>
      <w:r w:rsidRPr="001E35DE">
        <w:rPr>
          <w:b/>
          <w:bCs/>
          <w:sz w:val="20"/>
          <w:szCs w:val="20"/>
        </w:rPr>
        <w:t>Type</w:t>
      </w:r>
      <w:r w:rsidR="00F51BE4" w:rsidRPr="001E35DE">
        <w:rPr>
          <w:b/>
          <w:bCs/>
          <w:sz w:val="20"/>
          <w:szCs w:val="20"/>
        </w:rPr>
        <w:t xml:space="preserve"> of Contextual Data</w:t>
      </w:r>
      <w:r w:rsidRPr="001E35DE">
        <w:rPr>
          <w:b/>
          <w:bCs/>
          <w:sz w:val="20"/>
          <w:szCs w:val="20"/>
        </w:rPr>
        <w:t xml:space="preserve"> to be used</w:t>
      </w:r>
    </w:p>
    <w:p w:rsidR="006E078A" w:rsidRDefault="006C1F38" w:rsidP="006E078A">
      <w:pPr>
        <w:jc w:val="both"/>
        <w:rPr>
          <w:sz w:val="20"/>
          <w:szCs w:val="20"/>
        </w:rPr>
      </w:pPr>
      <w:r>
        <w:rPr>
          <w:sz w:val="20"/>
          <w:szCs w:val="20"/>
        </w:rPr>
        <w:t>Although c</w:t>
      </w:r>
      <w:r w:rsidR="003652E4">
        <w:rPr>
          <w:sz w:val="20"/>
          <w:szCs w:val="20"/>
        </w:rPr>
        <w:t>ontextual data can take a number of forms</w:t>
      </w:r>
      <w:r w:rsidR="0028749A">
        <w:rPr>
          <w:sz w:val="20"/>
          <w:szCs w:val="20"/>
        </w:rPr>
        <w:t>,</w:t>
      </w:r>
      <w:r w:rsidR="003652E4">
        <w:rPr>
          <w:sz w:val="20"/>
          <w:szCs w:val="20"/>
        </w:rPr>
        <w:t xml:space="preserve"> </w:t>
      </w:r>
      <w:r>
        <w:rPr>
          <w:sz w:val="20"/>
          <w:szCs w:val="20"/>
        </w:rPr>
        <w:t xml:space="preserve">Loughborough’s </w:t>
      </w:r>
      <w:r w:rsidR="00381C05" w:rsidRPr="007700DF">
        <w:rPr>
          <w:sz w:val="20"/>
          <w:szCs w:val="20"/>
        </w:rPr>
        <w:t xml:space="preserve">Access Agreement states the intention to ‘focus the core of our outreach and fair access initiatives around applicants from low HE participation neighbourhoods’ (currently based on POLAR 2).  The targets and milestones set out in the Access Agreement are based upon applications from and offers made to students from </w:t>
      </w:r>
      <w:r w:rsidR="00730F08" w:rsidRPr="007700DF">
        <w:rPr>
          <w:sz w:val="20"/>
          <w:szCs w:val="20"/>
        </w:rPr>
        <w:t>low participation</w:t>
      </w:r>
      <w:r w:rsidR="000C5172" w:rsidRPr="007700DF">
        <w:rPr>
          <w:sz w:val="20"/>
          <w:szCs w:val="20"/>
        </w:rPr>
        <w:t xml:space="preserve"> neighbourhoods (LPNs)</w:t>
      </w:r>
      <w:r w:rsidR="00381C05" w:rsidRPr="007700DF">
        <w:rPr>
          <w:sz w:val="20"/>
          <w:szCs w:val="20"/>
        </w:rPr>
        <w:t xml:space="preserve">, as well as to degree entrants from </w:t>
      </w:r>
      <w:r w:rsidR="00DA083C">
        <w:rPr>
          <w:sz w:val="20"/>
          <w:szCs w:val="20"/>
        </w:rPr>
        <w:t>the same backgrounds</w:t>
      </w:r>
      <w:r w:rsidR="00B91D1E" w:rsidRPr="007700DF">
        <w:rPr>
          <w:sz w:val="20"/>
          <w:szCs w:val="20"/>
        </w:rPr>
        <w:t xml:space="preserve">. </w:t>
      </w:r>
    </w:p>
    <w:p w:rsidR="00B91D1E" w:rsidRPr="00E46C49" w:rsidRDefault="00F31219" w:rsidP="00F31219">
      <w:pPr>
        <w:jc w:val="both"/>
        <w:rPr>
          <w:sz w:val="20"/>
          <w:szCs w:val="20"/>
        </w:rPr>
      </w:pPr>
      <w:r>
        <w:rPr>
          <w:sz w:val="20"/>
          <w:szCs w:val="20"/>
        </w:rPr>
        <w:t xml:space="preserve">Using LPN as an indicator of under-representation in HE enables </w:t>
      </w:r>
      <w:r w:rsidR="006E078A" w:rsidRPr="00E46C49">
        <w:rPr>
          <w:sz w:val="20"/>
          <w:szCs w:val="20"/>
        </w:rPr>
        <w:t xml:space="preserve">relevant applications </w:t>
      </w:r>
      <w:r>
        <w:rPr>
          <w:sz w:val="20"/>
          <w:szCs w:val="20"/>
        </w:rPr>
        <w:t>to be</w:t>
      </w:r>
      <w:r w:rsidRPr="00E46C49">
        <w:rPr>
          <w:sz w:val="20"/>
          <w:szCs w:val="20"/>
        </w:rPr>
        <w:t xml:space="preserve"> </w:t>
      </w:r>
      <w:r>
        <w:rPr>
          <w:sz w:val="20"/>
          <w:szCs w:val="20"/>
        </w:rPr>
        <w:t xml:space="preserve">identified </w:t>
      </w:r>
      <w:r w:rsidR="006E078A" w:rsidRPr="00E46C49">
        <w:rPr>
          <w:sz w:val="20"/>
          <w:szCs w:val="20"/>
        </w:rPr>
        <w:t xml:space="preserve">from </w:t>
      </w:r>
      <w:r>
        <w:rPr>
          <w:sz w:val="20"/>
          <w:szCs w:val="20"/>
        </w:rPr>
        <w:t xml:space="preserve">their </w:t>
      </w:r>
      <w:r w:rsidR="006E078A" w:rsidRPr="00E46C49">
        <w:rPr>
          <w:sz w:val="20"/>
          <w:szCs w:val="20"/>
        </w:rPr>
        <w:t>postcodes</w:t>
      </w:r>
      <w:r>
        <w:rPr>
          <w:sz w:val="20"/>
          <w:szCs w:val="20"/>
        </w:rPr>
        <w:t xml:space="preserve"> and</w:t>
      </w:r>
      <w:r w:rsidR="006E078A" w:rsidRPr="00E46C49">
        <w:rPr>
          <w:sz w:val="20"/>
          <w:szCs w:val="20"/>
        </w:rPr>
        <w:t xml:space="preserve"> flagged up </w:t>
      </w:r>
      <w:r>
        <w:rPr>
          <w:sz w:val="20"/>
          <w:szCs w:val="20"/>
        </w:rPr>
        <w:t>upon</w:t>
      </w:r>
      <w:r w:rsidRPr="00E46C49">
        <w:rPr>
          <w:sz w:val="20"/>
          <w:szCs w:val="20"/>
        </w:rPr>
        <w:t xml:space="preserve"> </w:t>
      </w:r>
      <w:r w:rsidR="00E46C49" w:rsidRPr="00E46C49">
        <w:rPr>
          <w:sz w:val="20"/>
          <w:szCs w:val="20"/>
        </w:rPr>
        <w:t>submission</w:t>
      </w:r>
      <w:r>
        <w:rPr>
          <w:sz w:val="20"/>
          <w:szCs w:val="20"/>
        </w:rPr>
        <w:t>; it is also a widely recognised measure of soc</w:t>
      </w:r>
      <w:r w:rsidR="00BE4E28">
        <w:rPr>
          <w:sz w:val="20"/>
          <w:szCs w:val="20"/>
        </w:rPr>
        <w:t>io</w:t>
      </w:r>
      <w:r>
        <w:rPr>
          <w:sz w:val="20"/>
          <w:szCs w:val="20"/>
        </w:rPr>
        <w:t>-economic disadvantage across the sector</w:t>
      </w:r>
      <w:r w:rsidR="006C1F38" w:rsidRPr="00E46C49">
        <w:rPr>
          <w:sz w:val="20"/>
          <w:szCs w:val="20"/>
        </w:rPr>
        <w:t>.</w:t>
      </w:r>
    </w:p>
    <w:p w:rsidR="000C5172" w:rsidRPr="001E35DE" w:rsidRDefault="00AD07F0" w:rsidP="0028749A">
      <w:pPr>
        <w:jc w:val="both"/>
        <w:rPr>
          <w:b/>
          <w:bCs/>
          <w:sz w:val="20"/>
          <w:szCs w:val="20"/>
        </w:rPr>
      </w:pPr>
      <w:r w:rsidRPr="001E35DE">
        <w:rPr>
          <w:b/>
          <w:bCs/>
          <w:sz w:val="20"/>
          <w:szCs w:val="20"/>
        </w:rPr>
        <w:t xml:space="preserve">Implementing the use of contextual data in the current admission process </w:t>
      </w:r>
    </w:p>
    <w:p w:rsidR="000924C6" w:rsidRPr="00947287" w:rsidRDefault="00AB5A60" w:rsidP="00F31219">
      <w:pPr>
        <w:jc w:val="both"/>
        <w:rPr>
          <w:color w:val="00B050"/>
          <w:sz w:val="20"/>
          <w:szCs w:val="20"/>
        </w:rPr>
      </w:pPr>
      <w:r>
        <w:rPr>
          <w:sz w:val="20"/>
          <w:szCs w:val="20"/>
        </w:rPr>
        <w:t>The current paper</w:t>
      </w:r>
      <w:r w:rsidR="00F31219">
        <w:rPr>
          <w:sz w:val="20"/>
          <w:szCs w:val="20"/>
        </w:rPr>
        <w:t>-</w:t>
      </w:r>
      <w:r>
        <w:rPr>
          <w:sz w:val="20"/>
          <w:szCs w:val="20"/>
        </w:rPr>
        <w:t xml:space="preserve">based system involves </w:t>
      </w:r>
      <w:r w:rsidR="00533CA3">
        <w:rPr>
          <w:sz w:val="20"/>
          <w:szCs w:val="20"/>
        </w:rPr>
        <w:t>Admissions</w:t>
      </w:r>
      <w:r w:rsidR="00AD07F0">
        <w:rPr>
          <w:sz w:val="20"/>
          <w:szCs w:val="20"/>
        </w:rPr>
        <w:t xml:space="preserve"> identifying those from LPN</w:t>
      </w:r>
      <w:r w:rsidR="004326DF">
        <w:rPr>
          <w:sz w:val="20"/>
          <w:szCs w:val="20"/>
        </w:rPr>
        <w:t>s</w:t>
      </w:r>
      <w:r w:rsidR="00AD07F0">
        <w:rPr>
          <w:sz w:val="20"/>
          <w:szCs w:val="20"/>
        </w:rPr>
        <w:t xml:space="preserve"> via LUSI, </w:t>
      </w:r>
      <w:r w:rsidR="00464538">
        <w:rPr>
          <w:sz w:val="20"/>
          <w:szCs w:val="20"/>
        </w:rPr>
        <w:t>and marking</w:t>
      </w:r>
      <w:r w:rsidR="00AD07F0">
        <w:rPr>
          <w:sz w:val="20"/>
          <w:szCs w:val="20"/>
        </w:rPr>
        <w:t xml:space="preserve"> </w:t>
      </w:r>
      <w:r w:rsidR="00464538">
        <w:rPr>
          <w:sz w:val="20"/>
          <w:szCs w:val="20"/>
        </w:rPr>
        <w:t>paper application</w:t>
      </w:r>
      <w:r w:rsidR="00AD07F0">
        <w:rPr>
          <w:sz w:val="20"/>
          <w:szCs w:val="20"/>
        </w:rPr>
        <w:t xml:space="preserve"> forms </w:t>
      </w:r>
      <w:r w:rsidR="00464538">
        <w:rPr>
          <w:sz w:val="20"/>
          <w:szCs w:val="20"/>
        </w:rPr>
        <w:t>accordingly before the</w:t>
      </w:r>
      <w:r w:rsidR="00094EBF">
        <w:rPr>
          <w:sz w:val="20"/>
          <w:szCs w:val="20"/>
        </w:rPr>
        <w:t>y</w:t>
      </w:r>
      <w:r w:rsidR="00464538">
        <w:rPr>
          <w:sz w:val="20"/>
          <w:szCs w:val="20"/>
        </w:rPr>
        <w:t xml:space="preserve"> are sent on to decision makers</w:t>
      </w:r>
      <w:r w:rsidR="004326DF">
        <w:rPr>
          <w:sz w:val="20"/>
          <w:szCs w:val="20"/>
        </w:rPr>
        <w:t>.</w:t>
      </w:r>
      <w:r w:rsidR="00AD07F0">
        <w:rPr>
          <w:sz w:val="20"/>
          <w:szCs w:val="20"/>
        </w:rPr>
        <w:t xml:space="preserve"> </w:t>
      </w:r>
      <w:r w:rsidR="00464538">
        <w:rPr>
          <w:sz w:val="20"/>
          <w:szCs w:val="20"/>
        </w:rPr>
        <w:t xml:space="preserve">We are now working with departments to reach agreement about how this information will be </w:t>
      </w:r>
      <w:r w:rsidR="00F31219">
        <w:rPr>
          <w:sz w:val="20"/>
          <w:szCs w:val="20"/>
        </w:rPr>
        <w:t xml:space="preserve">employed </w:t>
      </w:r>
      <w:r w:rsidR="00464538">
        <w:rPr>
          <w:sz w:val="20"/>
          <w:szCs w:val="20"/>
        </w:rPr>
        <w:t xml:space="preserve">in the decision making process, with the aim of ensuring open and consistent use of the data. </w:t>
      </w:r>
      <w:r w:rsidR="000924C6" w:rsidRPr="002B7FC1">
        <w:rPr>
          <w:sz w:val="20"/>
          <w:szCs w:val="20"/>
        </w:rPr>
        <w:t>Where departments have centralised decision making the criteria to apply will be agreed in advance with schools.</w:t>
      </w:r>
    </w:p>
    <w:p w:rsidR="00C2685B" w:rsidRPr="00C2685B" w:rsidRDefault="001D04D3" w:rsidP="00464538">
      <w:pPr>
        <w:jc w:val="both"/>
        <w:rPr>
          <w:sz w:val="20"/>
          <w:szCs w:val="20"/>
        </w:rPr>
      </w:pPr>
      <w:r w:rsidRPr="00C2685B">
        <w:rPr>
          <w:sz w:val="20"/>
          <w:szCs w:val="20"/>
        </w:rPr>
        <w:t>From 2014</w:t>
      </w:r>
      <w:r w:rsidR="00533CA3">
        <w:rPr>
          <w:sz w:val="20"/>
          <w:szCs w:val="20"/>
        </w:rPr>
        <w:t>,</w:t>
      </w:r>
      <w:r w:rsidRPr="00C2685B">
        <w:rPr>
          <w:sz w:val="20"/>
          <w:szCs w:val="20"/>
        </w:rPr>
        <w:t xml:space="preserve"> we </w:t>
      </w:r>
      <w:r w:rsidR="00533CA3">
        <w:rPr>
          <w:sz w:val="20"/>
          <w:szCs w:val="20"/>
        </w:rPr>
        <w:t xml:space="preserve">will </w:t>
      </w:r>
      <w:r w:rsidRPr="00C2685B">
        <w:rPr>
          <w:sz w:val="20"/>
          <w:szCs w:val="20"/>
        </w:rPr>
        <w:t xml:space="preserve">move to a full electronic application system </w:t>
      </w:r>
      <w:r w:rsidR="002B7FC1">
        <w:rPr>
          <w:sz w:val="20"/>
          <w:szCs w:val="20"/>
        </w:rPr>
        <w:t xml:space="preserve">where relevant applications will be automatically flagged up for </w:t>
      </w:r>
      <w:r w:rsidR="00C2685B" w:rsidRPr="00C2685B">
        <w:rPr>
          <w:sz w:val="20"/>
          <w:szCs w:val="20"/>
        </w:rPr>
        <w:t>admissions dec</w:t>
      </w:r>
      <w:r w:rsidR="00D75154">
        <w:rPr>
          <w:sz w:val="20"/>
          <w:szCs w:val="20"/>
        </w:rPr>
        <w:t>ision</w:t>
      </w:r>
      <w:r w:rsidR="00C2685B" w:rsidRPr="00C2685B">
        <w:rPr>
          <w:sz w:val="20"/>
          <w:szCs w:val="20"/>
        </w:rPr>
        <w:t xml:space="preserve"> makers.  </w:t>
      </w:r>
      <w:r w:rsidR="002B7FC1">
        <w:rPr>
          <w:sz w:val="20"/>
          <w:szCs w:val="20"/>
        </w:rPr>
        <w:t xml:space="preserve">Their decisions will be recorded </w:t>
      </w:r>
      <w:r w:rsidR="002B7FC1">
        <w:rPr>
          <w:sz w:val="20"/>
          <w:szCs w:val="20"/>
        </w:rPr>
        <w:lastRenderedPageBreak/>
        <w:t>electronically and other types of contextual data</w:t>
      </w:r>
      <w:r w:rsidR="0043483B">
        <w:rPr>
          <w:sz w:val="20"/>
          <w:szCs w:val="20"/>
        </w:rPr>
        <w:t>,</w:t>
      </w:r>
      <w:r w:rsidR="00947287">
        <w:rPr>
          <w:sz w:val="20"/>
          <w:szCs w:val="20"/>
        </w:rPr>
        <w:t xml:space="preserve"> in addition to LPNs</w:t>
      </w:r>
      <w:r w:rsidR="0043483B">
        <w:rPr>
          <w:sz w:val="20"/>
          <w:szCs w:val="20"/>
        </w:rPr>
        <w:t>,</w:t>
      </w:r>
      <w:r w:rsidR="00947287">
        <w:rPr>
          <w:sz w:val="20"/>
          <w:szCs w:val="20"/>
        </w:rPr>
        <w:t xml:space="preserve"> can be incorporated into the process. </w:t>
      </w:r>
    </w:p>
    <w:p w:rsidR="00A57EE5" w:rsidRPr="001E35DE" w:rsidRDefault="00A57EE5" w:rsidP="00F51BE4">
      <w:pPr>
        <w:jc w:val="both"/>
        <w:rPr>
          <w:b/>
          <w:bCs/>
          <w:sz w:val="20"/>
          <w:szCs w:val="20"/>
        </w:rPr>
      </w:pPr>
      <w:r w:rsidRPr="001E35DE">
        <w:rPr>
          <w:b/>
          <w:bCs/>
          <w:sz w:val="20"/>
          <w:szCs w:val="20"/>
        </w:rPr>
        <w:t>Monitoring and Evaluation</w:t>
      </w:r>
    </w:p>
    <w:p w:rsidR="000552E2" w:rsidRPr="008E59EF" w:rsidRDefault="006B73C0" w:rsidP="006B73C0">
      <w:pPr>
        <w:jc w:val="both"/>
        <w:rPr>
          <w:sz w:val="20"/>
          <w:szCs w:val="20"/>
        </w:rPr>
      </w:pPr>
      <w:r w:rsidRPr="00947287">
        <w:rPr>
          <w:sz w:val="20"/>
          <w:szCs w:val="20"/>
        </w:rPr>
        <w:t>Any decision informed by the consideration of contextual data will be indicated on the application form</w:t>
      </w:r>
      <w:r>
        <w:rPr>
          <w:sz w:val="20"/>
          <w:szCs w:val="20"/>
        </w:rPr>
        <w:t xml:space="preserve"> enabling the </w:t>
      </w:r>
      <w:r w:rsidR="000924C6" w:rsidRPr="00947287">
        <w:rPr>
          <w:sz w:val="20"/>
          <w:szCs w:val="20"/>
        </w:rPr>
        <w:t xml:space="preserve">use of LPN data </w:t>
      </w:r>
      <w:r>
        <w:rPr>
          <w:sz w:val="20"/>
          <w:szCs w:val="20"/>
        </w:rPr>
        <w:t>to</w:t>
      </w:r>
      <w:r w:rsidRPr="00947287">
        <w:rPr>
          <w:sz w:val="20"/>
          <w:szCs w:val="20"/>
        </w:rPr>
        <w:t xml:space="preserve"> </w:t>
      </w:r>
      <w:r w:rsidR="000924C6" w:rsidRPr="00947287">
        <w:rPr>
          <w:sz w:val="20"/>
          <w:szCs w:val="20"/>
        </w:rPr>
        <w:t>be carefully monitored throughout the admissions process</w:t>
      </w:r>
      <w:r w:rsidR="00947287" w:rsidRPr="00947287">
        <w:rPr>
          <w:sz w:val="20"/>
          <w:szCs w:val="20"/>
        </w:rPr>
        <w:t xml:space="preserve">.  All findings will be reported back to admissions tutors and other </w:t>
      </w:r>
      <w:r w:rsidR="0043483B">
        <w:rPr>
          <w:sz w:val="20"/>
          <w:szCs w:val="20"/>
        </w:rPr>
        <w:t>key contacts</w:t>
      </w:r>
      <w:r w:rsidR="00947287" w:rsidRPr="00947287">
        <w:rPr>
          <w:sz w:val="20"/>
          <w:szCs w:val="20"/>
        </w:rPr>
        <w:t xml:space="preserve">.  This evaluation will also assist in the development of IT systems for the 2014 </w:t>
      </w:r>
      <w:r w:rsidR="00077B3E">
        <w:rPr>
          <w:sz w:val="20"/>
          <w:szCs w:val="20"/>
        </w:rPr>
        <w:t xml:space="preserve">electronic </w:t>
      </w:r>
      <w:r w:rsidR="00947287" w:rsidRPr="00947287">
        <w:rPr>
          <w:sz w:val="20"/>
          <w:szCs w:val="20"/>
        </w:rPr>
        <w:t>applications cycle</w:t>
      </w:r>
      <w:r w:rsidR="00077B3E">
        <w:rPr>
          <w:sz w:val="20"/>
          <w:szCs w:val="20"/>
        </w:rPr>
        <w:t>.</w:t>
      </w:r>
      <w:r w:rsidR="00947287" w:rsidRPr="00947287">
        <w:rPr>
          <w:sz w:val="20"/>
          <w:szCs w:val="20"/>
        </w:rPr>
        <w:t xml:space="preserve"> </w:t>
      </w:r>
      <w:r w:rsidR="00077B3E">
        <w:rPr>
          <w:sz w:val="20"/>
          <w:szCs w:val="20"/>
        </w:rPr>
        <w:t xml:space="preserve"> </w:t>
      </w:r>
    </w:p>
    <w:sectPr w:rsidR="000552E2" w:rsidRPr="008E59E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48" w:rsidRDefault="00462948" w:rsidP="000552E2">
      <w:pPr>
        <w:spacing w:after="0" w:line="240" w:lineRule="auto"/>
      </w:pPr>
      <w:r>
        <w:separator/>
      </w:r>
    </w:p>
  </w:endnote>
  <w:endnote w:type="continuationSeparator" w:id="0">
    <w:p w:rsidR="00462948" w:rsidRDefault="00462948" w:rsidP="00055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54" w:rsidRPr="00043454" w:rsidRDefault="00043454" w:rsidP="00043454">
    <w:pPr>
      <w:pStyle w:val="Footer"/>
      <w:rPr>
        <w:sz w:val="18"/>
        <w:szCs w:val="18"/>
      </w:rPr>
    </w:pPr>
    <w:r w:rsidRPr="00043454">
      <w:rPr>
        <w:sz w:val="18"/>
        <w:szCs w:val="18"/>
      </w:rPr>
      <w:fldChar w:fldCharType="begin"/>
    </w:r>
    <w:r w:rsidRPr="00043454">
      <w:rPr>
        <w:sz w:val="18"/>
        <w:szCs w:val="18"/>
      </w:rPr>
      <w:instrText xml:space="preserve"> DATE  \@ "dd MMMM yyyy"  \* MERGEFORMAT </w:instrText>
    </w:r>
    <w:r w:rsidRPr="00043454">
      <w:rPr>
        <w:sz w:val="18"/>
        <w:szCs w:val="18"/>
      </w:rPr>
      <w:fldChar w:fldCharType="separate"/>
    </w:r>
    <w:r w:rsidR="00E038FB">
      <w:rPr>
        <w:noProof/>
        <w:sz w:val="18"/>
        <w:szCs w:val="18"/>
      </w:rPr>
      <w:t>17 October 2012</w:t>
    </w:r>
    <w:r w:rsidRPr="00043454">
      <w:rPr>
        <w:sz w:val="18"/>
        <w:szCs w:val="18"/>
      </w:rPr>
      <w:fldChar w:fldCharType="end"/>
    </w:r>
  </w:p>
  <w:p w:rsidR="0016499D" w:rsidRPr="00381C05" w:rsidRDefault="0016499D" w:rsidP="00522AE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48" w:rsidRDefault="00462948" w:rsidP="000552E2">
      <w:pPr>
        <w:spacing w:after="0" w:line="240" w:lineRule="auto"/>
      </w:pPr>
      <w:r>
        <w:separator/>
      </w:r>
    </w:p>
  </w:footnote>
  <w:footnote w:type="continuationSeparator" w:id="0">
    <w:p w:rsidR="00462948" w:rsidRDefault="00462948" w:rsidP="00055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8FB" w:rsidRPr="00E038FB" w:rsidRDefault="00E038FB" w:rsidP="00E038FB">
    <w:pPr>
      <w:tabs>
        <w:tab w:val="center" w:pos="4513"/>
        <w:tab w:val="right" w:pos="9026"/>
      </w:tabs>
      <w:spacing w:after="0" w:line="240" w:lineRule="auto"/>
      <w:jc w:val="right"/>
      <w:rPr>
        <w:rFonts w:asciiTheme="minorBidi" w:eastAsia="Times New Roman" w:hAnsiTheme="minorBidi" w:cstheme="minorBidi"/>
        <w:sz w:val="22"/>
        <w:szCs w:val="22"/>
        <w:lang w:eastAsia="en-US"/>
      </w:rPr>
    </w:pPr>
    <w:r>
      <w:rPr>
        <w:rFonts w:asciiTheme="minorBidi" w:eastAsia="Times New Roman" w:hAnsiTheme="minorBidi" w:cstheme="minorBidi"/>
        <w:sz w:val="22"/>
        <w:szCs w:val="22"/>
        <w:lang w:eastAsia="en-US"/>
      </w:rPr>
      <w:t>LTC12-P59</w:t>
    </w:r>
  </w:p>
  <w:p w:rsidR="00E038FB" w:rsidRPr="00E038FB" w:rsidRDefault="00E038FB" w:rsidP="00E038FB">
    <w:pPr>
      <w:tabs>
        <w:tab w:val="center" w:pos="4513"/>
        <w:tab w:val="right" w:pos="9026"/>
      </w:tabs>
      <w:spacing w:after="0" w:line="240" w:lineRule="auto"/>
      <w:jc w:val="right"/>
      <w:rPr>
        <w:rFonts w:asciiTheme="minorBidi" w:eastAsia="Times New Roman" w:hAnsiTheme="minorBidi" w:cstheme="minorBidi"/>
        <w:sz w:val="22"/>
        <w:szCs w:val="22"/>
        <w:lang w:eastAsia="en-US"/>
      </w:rPr>
    </w:pPr>
    <w:r w:rsidRPr="00E038FB">
      <w:rPr>
        <w:rFonts w:asciiTheme="minorBidi" w:eastAsia="Times New Roman" w:hAnsiTheme="minorBidi" w:cstheme="minorBidi"/>
        <w:sz w:val="22"/>
        <w:szCs w:val="22"/>
        <w:lang w:eastAsia="en-US"/>
      </w:rPr>
      <w:t>25 October 2012</w:t>
    </w:r>
  </w:p>
  <w:p w:rsidR="00E038FB" w:rsidRDefault="00E03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75C5"/>
    <w:multiLevelType w:val="hybridMultilevel"/>
    <w:tmpl w:val="D904EC2C"/>
    <w:lvl w:ilvl="0" w:tplc="01B252F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C11DA"/>
    <w:multiLevelType w:val="multilevel"/>
    <w:tmpl w:val="2DFC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8E"/>
    <w:rsid w:val="00001FD8"/>
    <w:rsid w:val="00035455"/>
    <w:rsid w:val="00042F53"/>
    <w:rsid w:val="00043454"/>
    <w:rsid w:val="00046A69"/>
    <w:rsid w:val="000552E2"/>
    <w:rsid w:val="00077B3E"/>
    <w:rsid w:val="000924C6"/>
    <w:rsid w:val="00094EBF"/>
    <w:rsid w:val="000C5172"/>
    <w:rsid w:val="000F7876"/>
    <w:rsid w:val="0016499D"/>
    <w:rsid w:val="001C4475"/>
    <w:rsid w:val="001D04D3"/>
    <w:rsid w:val="001E35DE"/>
    <w:rsid w:val="001F1D1B"/>
    <w:rsid w:val="00212D4D"/>
    <w:rsid w:val="00252015"/>
    <w:rsid w:val="0028749A"/>
    <w:rsid w:val="002A0F14"/>
    <w:rsid w:val="002B7FC1"/>
    <w:rsid w:val="002D159F"/>
    <w:rsid w:val="002F7129"/>
    <w:rsid w:val="0031443C"/>
    <w:rsid w:val="0031592A"/>
    <w:rsid w:val="003255B9"/>
    <w:rsid w:val="00357FBC"/>
    <w:rsid w:val="003652E4"/>
    <w:rsid w:val="00381C05"/>
    <w:rsid w:val="003A6264"/>
    <w:rsid w:val="003A6B00"/>
    <w:rsid w:val="003E63AF"/>
    <w:rsid w:val="004326DF"/>
    <w:rsid w:val="0043483B"/>
    <w:rsid w:val="00462948"/>
    <w:rsid w:val="00464538"/>
    <w:rsid w:val="00485EEC"/>
    <w:rsid w:val="004F32D6"/>
    <w:rsid w:val="0050271B"/>
    <w:rsid w:val="00522AEE"/>
    <w:rsid w:val="00533CA3"/>
    <w:rsid w:val="005615F7"/>
    <w:rsid w:val="00573B07"/>
    <w:rsid w:val="00584E8E"/>
    <w:rsid w:val="005F0987"/>
    <w:rsid w:val="005F6E37"/>
    <w:rsid w:val="0066078C"/>
    <w:rsid w:val="006753F4"/>
    <w:rsid w:val="00683303"/>
    <w:rsid w:val="00695514"/>
    <w:rsid w:val="006A39B4"/>
    <w:rsid w:val="006B73C0"/>
    <w:rsid w:val="006C162A"/>
    <w:rsid w:val="006C1F38"/>
    <w:rsid w:val="006E078A"/>
    <w:rsid w:val="006F1CEF"/>
    <w:rsid w:val="00730F08"/>
    <w:rsid w:val="00743EB9"/>
    <w:rsid w:val="007700DF"/>
    <w:rsid w:val="007B5947"/>
    <w:rsid w:val="007B5C9B"/>
    <w:rsid w:val="007C0846"/>
    <w:rsid w:val="00815084"/>
    <w:rsid w:val="00860163"/>
    <w:rsid w:val="008C4B9D"/>
    <w:rsid w:val="008D332E"/>
    <w:rsid w:val="008D4683"/>
    <w:rsid w:val="008E59EF"/>
    <w:rsid w:val="00902F86"/>
    <w:rsid w:val="00944C8F"/>
    <w:rsid w:val="00947287"/>
    <w:rsid w:val="00950B83"/>
    <w:rsid w:val="00981632"/>
    <w:rsid w:val="009A4A48"/>
    <w:rsid w:val="009B0FF9"/>
    <w:rsid w:val="009F2B03"/>
    <w:rsid w:val="00A04B02"/>
    <w:rsid w:val="00A121BF"/>
    <w:rsid w:val="00A146B1"/>
    <w:rsid w:val="00A40196"/>
    <w:rsid w:val="00A57EE5"/>
    <w:rsid w:val="00A83CD5"/>
    <w:rsid w:val="00A86850"/>
    <w:rsid w:val="00AB5A60"/>
    <w:rsid w:val="00AD07F0"/>
    <w:rsid w:val="00AE5725"/>
    <w:rsid w:val="00B27100"/>
    <w:rsid w:val="00B90893"/>
    <w:rsid w:val="00B91D1E"/>
    <w:rsid w:val="00BB0DDC"/>
    <w:rsid w:val="00BB2486"/>
    <w:rsid w:val="00BB748D"/>
    <w:rsid w:val="00BD7339"/>
    <w:rsid w:val="00BE12AB"/>
    <w:rsid w:val="00BE4E28"/>
    <w:rsid w:val="00C2685B"/>
    <w:rsid w:val="00C71A9C"/>
    <w:rsid w:val="00CA7ABE"/>
    <w:rsid w:val="00CA7B45"/>
    <w:rsid w:val="00CF2E29"/>
    <w:rsid w:val="00D242FD"/>
    <w:rsid w:val="00D4645C"/>
    <w:rsid w:val="00D51BB8"/>
    <w:rsid w:val="00D75154"/>
    <w:rsid w:val="00D97798"/>
    <w:rsid w:val="00DA083C"/>
    <w:rsid w:val="00E038FB"/>
    <w:rsid w:val="00E46C49"/>
    <w:rsid w:val="00F31219"/>
    <w:rsid w:val="00F43C56"/>
    <w:rsid w:val="00F51BE4"/>
    <w:rsid w:val="00F62B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8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2E2"/>
    <w:rPr>
      <w:rFonts w:ascii="Arial" w:hAnsi="Arial" w:cs="Arial"/>
      <w:sz w:val="24"/>
      <w:szCs w:val="24"/>
    </w:rPr>
  </w:style>
  <w:style w:type="paragraph" w:styleId="Footer">
    <w:name w:val="footer"/>
    <w:basedOn w:val="Normal"/>
    <w:link w:val="FooterChar"/>
    <w:uiPriority w:val="99"/>
    <w:unhideWhenUsed/>
    <w:rsid w:val="0005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2E2"/>
    <w:rPr>
      <w:rFonts w:ascii="Arial" w:hAnsi="Arial" w:cs="Arial"/>
      <w:sz w:val="24"/>
      <w:szCs w:val="24"/>
    </w:rPr>
  </w:style>
  <w:style w:type="paragraph" w:styleId="BalloonText">
    <w:name w:val="Balloon Text"/>
    <w:basedOn w:val="Normal"/>
    <w:link w:val="BalloonTextChar"/>
    <w:uiPriority w:val="99"/>
    <w:semiHidden/>
    <w:unhideWhenUsed/>
    <w:rsid w:val="00A86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50"/>
    <w:rPr>
      <w:rFonts w:ascii="Tahoma" w:hAnsi="Tahoma" w:cs="Tahoma"/>
      <w:sz w:val="16"/>
      <w:szCs w:val="16"/>
    </w:rPr>
  </w:style>
  <w:style w:type="character" w:styleId="Hyperlink">
    <w:name w:val="Hyperlink"/>
    <w:basedOn w:val="DefaultParagraphFont"/>
    <w:uiPriority w:val="99"/>
    <w:unhideWhenUsed/>
    <w:rsid w:val="00981632"/>
    <w:rPr>
      <w:color w:val="0000FF" w:themeColor="hyperlink"/>
      <w:u w:val="single"/>
    </w:rPr>
  </w:style>
  <w:style w:type="paragraph" w:styleId="ListParagraph">
    <w:name w:val="List Paragraph"/>
    <w:basedOn w:val="Normal"/>
    <w:uiPriority w:val="34"/>
    <w:qFormat/>
    <w:rsid w:val="001D0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8E"/>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2E2"/>
    <w:rPr>
      <w:rFonts w:ascii="Arial" w:hAnsi="Arial" w:cs="Arial"/>
      <w:sz w:val="24"/>
      <w:szCs w:val="24"/>
    </w:rPr>
  </w:style>
  <w:style w:type="paragraph" w:styleId="Footer">
    <w:name w:val="footer"/>
    <w:basedOn w:val="Normal"/>
    <w:link w:val="FooterChar"/>
    <w:uiPriority w:val="99"/>
    <w:unhideWhenUsed/>
    <w:rsid w:val="00055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2E2"/>
    <w:rPr>
      <w:rFonts w:ascii="Arial" w:hAnsi="Arial" w:cs="Arial"/>
      <w:sz w:val="24"/>
      <w:szCs w:val="24"/>
    </w:rPr>
  </w:style>
  <w:style w:type="paragraph" w:styleId="BalloonText">
    <w:name w:val="Balloon Text"/>
    <w:basedOn w:val="Normal"/>
    <w:link w:val="BalloonTextChar"/>
    <w:uiPriority w:val="99"/>
    <w:semiHidden/>
    <w:unhideWhenUsed/>
    <w:rsid w:val="00A86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850"/>
    <w:rPr>
      <w:rFonts w:ascii="Tahoma" w:hAnsi="Tahoma" w:cs="Tahoma"/>
      <w:sz w:val="16"/>
      <w:szCs w:val="16"/>
    </w:rPr>
  </w:style>
  <w:style w:type="character" w:styleId="Hyperlink">
    <w:name w:val="Hyperlink"/>
    <w:basedOn w:val="DefaultParagraphFont"/>
    <w:uiPriority w:val="99"/>
    <w:unhideWhenUsed/>
    <w:rsid w:val="00981632"/>
    <w:rPr>
      <w:color w:val="0000FF" w:themeColor="hyperlink"/>
      <w:u w:val="single"/>
    </w:rPr>
  </w:style>
  <w:style w:type="paragraph" w:styleId="ListParagraph">
    <w:name w:val="List Paragraph"/>
    <w:basedOn w:val="Normal"/>
    <w:uiPriority w:val="34"/>
    <w:qFormat/>
    <w:rsid w:val="001D0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33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1618-7DE7-4C1F-BC3D-391741CA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519</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Origin:      		Neil Raven, Student Outreach and Recruitment Manager</vt:lpstr>
      <vt:lpstr>Veronica Hammond, Access Administrator</vt:lpstr>
      <vt:lpstr>Chris Carpenter, Undergraduate Admissions Manager</vt:lpstr>
      <vt:lpstr/>
      <vt:lpstr>Executive Summary: 	The University’s Access Agreement states an intention to use</vt:lpstr>
      <vt:lpstr/>
    </vt:vector>
  </TitlesOfParts>
  <Company>Loughborough University</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Rob</cp:lastModifiedBy>
  <cp:revision>4</cp:revision>
  <dcterms:created xsi:type="dcterms:W3CDTF">2012-10-16T14:05:00Z</dcterms:created>
  <dcterms:modified xsi:type="dcterms:W3CDTF">2012-10-17T09:44:00Z</dcterms:modified>
</cp:coreProperties>
</file>