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E6" w:rsidRDefault="003A1326">
      <w:pPr>
        <w:jc w:val="righ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6.95pt;height:42.15pt" fillcolor="window">
            <v:imagedata r:id="rId8" o:title=""/>
          </v:shape>
        </w:pict>
      </w:r>
    </w:p>
    <w:p w:rsidR="00BB42E6" w:rsidRPr="00EE072C" w:rsidRDefault="00BB42E6">
      <w:pPr>
        <w:rPr>
          <w:rFonts w:ascii="Arial" w:hAnsi="Arial" w:cs="Arial"/>
        </w:rPr>
      </w:pPr>
      <w:r w:rsidRPr="00EE072C">
        <w:rPr>
          <w:rFonts w:ascii="Arial" w:hAnsi="Arial" w:cs="Arial"/>
        </w:rPr>
        <w:t>Department of Information Science</w:t>
      </w:r>
    </w:p>
    <w:p w:rsidR="00BB42E6" w:rsidRDefault="003A1326">
      <w:r>
        <w:rPr>
          <w:noProof/>
        </w:rPr>
        <w:pict>
          <v:line id="_x0000_s1026" style="position:absolute;z-index:251657728" from="4.05pt,9.2pt" to="475.7pt,9.25pt" strokeweight="2pt">
            <v:stroke startarrowwidth="narrow" startarrowlength="short" endarrowwidth="narrow" endarrowlength="short"/>
          </v:line>
        </w:pict>
      </w:r>
    </w:p>
    <w:p w:rsidR="00BB42E6" w:rsidRDefault="00BB42E6"/>
    <w:p w:rsidR="00EE072C" w:rsidRPr="00EE072C" w:rsidRDefault="00EE072C" w:rsidP="00EE072C">
      <w:pPr>
        <w:spacing w:line="276" w:lineRule="auto"/>
        <w:jc w:val="center"/>
        <w:rPr>
          <w:rFonts w:ascii="Arial" w:hAnsi="Arial" w:cs="Arial"/>
          <w:b/>
          <w:sz w:val="24"/>
          <w:szCs w:val="24"/>
        </w:rPr>
      </w:pPr>
      <w:r w:rsidRPr="00EE072C">
        <w:rPr>
          <w:rFonts w:ascii="Arial" w:hAnsi="Arial" w:cs="Arial"/>
          <w:b/>
          <w:sz w:val="24"/>
          <w:szCs w:val="24"/>
        </w:rPr>
        <w:t>Departmental Response to the Report of the Periodic Programme Review</w:t>
      </w:r>
    </w:p>
    <w:p w:rsidR="00EE072C" w:rsidRPr="00EE072C" w:rsidRDefault="00EE072C" w:rsidP="00EE072C">
      <w:pPr>
        <w:spacing w:line="276" w:lineRule="auto"/>
        <w:jc w:val="center"/>
        <w:rPr>
          <w:rFonts w:ascii="Arial" w:hAnsi="Arial" w:cs="Arial"/>
          <w:b/>
          <w:sz w:val="24"/>
          <w:szCs w:val="24"/>
        </w:rPr>
      </w:pPr>
      <w:r w:rsidRPr="00EE072C">
        <w:rPr>
          <w:rFonts w:ascii="Arial" w:hAnsi="Arial" w:cs="Arial"/>
          <w:b/>
          <w:sz w:val="24"/>
          <w:szCs w:val="24"/>
        </w:rPr>
        <w:t>Department of Information Science</w:t>
      </w:r>
    </w:p>
    <w:p w:rsidR="00EE072C" w:rsidRDefault="00EE072C" w:rsidP="00EE072C">
      <w:pPr>
        <w:spacing w:line="276" w:lineRule="auto"/>
        <w:jc w:val="center"/>
        <w:rPr>
          <w:rFonts w:ascii="Arial" w:hAnsi="Arial" w:cs="Arial"/>
          <w:b/>
          <w:sz w:val="24"/>
          <w:szCs w:val="24"/>
        </w:rPr>
      </w:pPr>
      <w:r w:rsidRPr="00EE072C">
        <w:rPr>
          <w:rFonts w:ascii="Arial" w:hAnsi="Arial" w:cs="Arial"/>
          <w:b/>
          <w:sz w:val="24"/>
          <w:szCs w:val="24"/>
        </w:rPr>
        <w:t>29</w:t>
      </w:r>
      <w:r w:rsidRPr="00EE072C">
        <w:rPr>
          <w:rFonts w:ascii="Arial" w:hAnsi="Arial" w:cs="Arial"/>
          <w:b/>
          <w:sz w:val="24"/>
          <w:szCs w:val="24"/>
          <w:vertAlign w:val="superscript"/>
        </w:rPr>
        <w:t>th</w:t>
      </w:r>
      <w:r>
        <w:rPr>
          <w:rFonts w:ascii="Arial" w:hAnsi="Arial" w:cs="Arial"/>
          <w:b/>
          <w:sz w:val="24"/>
          <w:szCs w:val="24"/>
        </w:rPr>
        <w:t xml:space="preserve"> </w:t>
      </w:r>
      <w:r w:rsidRPr="00EE072C">
        <w:rPr>
          <w:rFonts w:ascii="Arial" w:hAnsi="Arial" w:cs="Arial"/>
          <w:b/>
          <w:sz w:val="24"/>
          <w:szCs w:val="24"/>
        </w:rPr>
        <w:t xml:space="preserve">April </w:t>
      </w:r>
      <w:r>
        <w:rPr>
          <w:rFonts w:ascii="Arial" w:hAnsi="Arial" w:cs="Arial"/>
          <w:b/>
          <w:sz w:val="24"/>
          <w:szCs w:val="24"/>
        </w:rPr>
        <w:t>2010</w:t>
      </w:r>
    </w:p>
    <w:p w:rsidR="00EE072C" w:rsidRDefault="00EE072C" w:rsidP="00EE072C">
      <w:pPr>
        <w:jc w:val="center"/>
        <w:rPr>
          <w:rFonts w:ascii="Arial" w:hAnsi="Arial" w:cs="Arial"/>
          <w:b/>
          <w:sz w:val="24"/>
          <w:szCs w:val="24"/>
        </w:rPr>
      </w:pPr>
    </w:p>
    <w:p w:rsidR="00EE072C" w:rsidRPr="00EE072C" w:rsidRDefault="00EE072C">
      <w:pPr>
        <w:rPr>
          <w:rFonts w:ascii="Arial" w:hAnsi="Arial" w:cs="Arial"/>
          <w:sz w:val="22"/>
          <w:szCs w:val="22"/>
        </w:rPr>
      </w:pPr>
    </w:p>
    <w:p w:rsidR="00EE072C" w:rsidRDefault="00EE072C" w:rsidP="00EE072C">
      <w:pPr>
        <w:spacing w:line="360" w:lineRule="auto"/>
        <w:rPr>
          <w:rFonts w:ascii="Arial" w:hAnsi="Arial" w:cs="Arial"/>
          <w:sz w:val="22"/>
          <w:szCs w:val="22"/>
        </w:rPr>
      </w:pPr>
      <w:r w:rsidRPr="00EE072C">
        <w:rPr>
          <w:rFonts w:ascii="Arial" w:hAnsi="Arial" w:cs="Arial"/>
          <w:sz w:val="22"/>
          <w:szCs w:val="22"/>
        </w:rPr>
        <w:t>The Department would like to thank the members of the PPR panel for their considered and constructive comments and advice.</w:t>
      </w:r>
      <w:r>
        <w:rPr>
          <w:rFonts w:ascii="Arial" w:hAnsi="Arial" w:cs="Arial"/>
          <w:sz w:val="22"/>
          <w:szCs w:val="22"/>
        </w:rPr>
        <w:t xml:space="preserve">  This response will address points of issues raised in the body of the report </w:t>
      </w:r>
      <w:r w:rsidR="00A34DA4">
        <w:rPr>
          <w:rFonts w:ascii="Arial" w:hAnsi="Arial" w:cs="Arial"/>
          <w:sz w:val="22"/>
          <w:szCs w:val="22"/>
        </w:rPr>
        <w:t>summarised under</w:t>
      </w:r>
      <w:r>
        <w:rPr>
          <w:rFonts w:ascii="Arial" w:hAnsi="Arial" w:cs="Arial"/>
          <w:sz w:val="22"/>
          <w:szCs w:val="22"/>
        </w:rPr>
        <w:t xml:space="preserve"> the recommendations for action listed under point 11.4.</w:t>
      </w:r>
    </w:p>
    <w:p w:rsidR="00EE072C" w:rsidRDefault="00EE072C" w:rsidP="00EE072C">
      <w:pPr>
        <w:spacing w:line="360" w:lineRule="auto"/>
        <w:rPr>
          <w:rFonts w:ascii="Arial" w:hAnsi="Arial" w:cs="Arial"/>
          <w:sz w:val="22"/>
          <w:szCs w:val="22"/>
        </w:rPr>
      </w:pPr>
    </w:p>
    <w:p w:rsidR="00EE072C" w:rsidRPr="0071065C" w:rsidRDefault="0071065C" w:rsidP="00EE072C">
      <w:pPr>
        <w:spacing w:line="360" w:lineRule="auto"/>
        <w:rPr>
          <w:rFonts w:ascii="Arial" w:hAnsi="Arial" w:cs="Arial"/>
          <w:b/>
          <w:sz w:val="22"/>
          <w:szCs w:val="22"/>
        </w:rPr>
      </w:pPr>
      <w:r w:rsidRPr="0071065C">
        <w:rPr>
          <w:rFonts w:ascii="Arial" w:hAnsi="Arial" w:cs="Arial"/>
          <w:b/>
          <w:sz w:val="22"/>
          <w:szCs w:val="22"/>
        </w:rPr>
        <w:t>5.5: to continue efforts to increase international student recruitment</w:t>
      </w:r>
    </w:p>
    <w:p w:rsidR="00FD0FE3" w:rsidRDefault="00FD0FE3" w:rsidP="00EE072C">
      <w:pPr>
        <w:spacing w:line="360" w:lineRule="auto"/>
        <w:rPr>
          <w:rFonts w:ascii="Arial" w:hAnsi="Arial" w:cs="Arial"/>
          <w:sz w:val="22"/>
          <w:szCs w:val="22"/>
        </w:rPr>
      </w:pPr>
      <w:r>
        <w:rPr>
          <w:rFonts w:ascii="Arial" w:hAnsi="Arial" w:cs="Arial"/>
          <w:sz w:val="22"/>
          <w:szCs w:val="22"/>
        </w:rPr>
        <w:t xml:space="preserve">International student recruitment to programmes within the Department of Information Science increased </w:t>
      </w:r>
      <w:proofErr w:type="gramStart"/>
      <w:r>
        <w:rPr>
          <w:rFonts w:ascii="Arial" w:hAnsi="Arial" w:cs="Arial"/>
          <w:sz w:val="22"/>
          <w:szCs w:val="22"/>
        </w:rPr>
        <w:t>considerably</w:t>
      </w:r>
      <w:proofErr w:type="gramEnd"/>
      <w:r>
        <w:rPr>
          <w:rFonts w:ascii="Arial" w:hAnsi="Arial" w:cs="Arial"/>
          <w:sz w:val="22"/>
          <w:szCs w:val="22"/>
        </w:rPr>
        <w:t xml:space="preserve"> for the academic year 2010-2011</w:t>
      </w:r>
      <w:r w:rsidR="0066305C">
        <w:rPr>
          <w:rFonts w:ascii="Arial" w:hAnsi="Arial" w:cs="Arial"/>
          <w:sz w:val="22"/>
          <w:szCs w:val="22"/>
        </w:rPr>
        <w:t>, particularly on the PG</w:t>
      </w:r>
      <w:r>
        <w:rPr>
          <w:rFonts w:ascii="Arial" w:hAnsi="Arial" w:cs="Arial"/>
          <w:sz w:val="22"/>
          <w:szCs w:val="22"/>
        </w:rPr>
        <w:t>T programme</w:t>
      </w:r>
      <w:r w:rsidR="0066305C">
        <w:rPr>
          <w:rFonts w:ascii="Arial" w:hAnsi="Arial" w:cs="Arial"/>
          <w:sz w:val="22"/>
          <w:szCs w:val="22"/>
        </w:rPr>
        <w:t>s</w:t>
      </w:r>
      <w:r>
        <w:rPr>
          <w:rFonts w:ascii="Arial" w:hAnsi="Arial" w:cs="Arial"/>
          <w:sz w:val="22"/>
          <w:szCs w:val="22"/>
        </w:rPr>
        <w:t>:</w:t>
      </w:r>
    </w:p>
    <w:p w:rsidR="00FD0FE3" w:rsidRPr="00FD0FE3" w:rsidRDefault="00FD0FE3" w:rsidP="00EE072C">
      <w:pPr>
        <w:spacing w:line="360" w:lineRule="auto"/>
        <w:rPr>
          <w:rFonts w:ascii="Arial" w:hAnsi="Arial" w:cs="Arial"/>
          <w:sz w:val="22"/>
          <w:szCs w:val="22"/>
        </w:rPr>
      </w:pPr>
    </w:p>
    <w:p w:rsidR="00FD0FE3" w:rsidRPr="00FD0FE3" w:rsidRDefault="00FD0FE3" w:rsidP="00FD0FE3">
      <w:pPr>
        <w:rPr>
          <w:rFonts w:ascii="Arial" w:hAnsi="Arial" w:cs="Arial"/>
          <w:sz w:val="22"/>
          <w:szCs w:val="22"/>
        </w:rPr>
      </w:pPr>
      <w:r w:rsidRPr="00FD0FE3">
        <w:rPr>
          <w:rFonts w:ascii="Arial" w:hAnsi="Arial" w:cs="Arial"/>
          <w:sz w:val="22"/>
          <w:szCs w:val="22"/>
        </w:rPr>
        <w:t>Entry 2009:</w:t>
      </w:r>
    </w:p>
    <w:p w:rsidR="00FD0FE3" w:rsidRPr="00FD0FE3" w:rsidRDefault="00FD0FE3" w:rsidP="00FD0FE3">
      <w:pPr>
        <w:rPr>
          <w:rFonts w:ascii="Arial" w:hAnsi="Arial" w:cs="Arial"/>
          <w:sz w:val="22"/>
          <w:szCs w:val="22"/>
        </w:rPr>
      </w:pPr>
      <w:r w:rsidRPr="00FD0FE3">
        <w:rPr>
          <w:rFonts w:ascii="Arial" w:hAnsi="Arial" w:cs="Arial"/>
          <w:sz w:val="22"/>
          <w:szCs w:val="22"/>
        </w:rPr>
        <w:t>UG – 7; PGT – 11 (IKM 5, ILM 2, IMBT 4)</w:t>
      </w:r>
    </w:p>
    <w:p w:rsidR="00FD0FE3" w:rsidRPr="00FD0FE3" w:rsidRDefault="00FD0FE3" w:rsidP="00FD0FE3">
      <w:pPr>
        <w:rPr>
          <w:rFonts w:ascii="Arial" w:hAnsi="Arial" w:cs="Arial"/>
          <w:sz w:val="22"/>
          <w:szCs w:val="22"/>
        </w:rPr>
      </w:pPr>
    </w:p>
    <w:p w:rsidR="00FD0FE3" w:rsidRPr="00FD0FE3" w:rsidRDefault="00FD0FE3" w:rsidP="00FD0FE3">
      <w:pPr>
        <w:rPr>
          <w:rFonts w:ascii="Arial" w:hAnsi="Arial" w:cs="Arial"/>
          <w:sz w:val="22"/>
          <w:szCs w:val="22"/>
        </w:rPr>
      </w:pPr>
      <w:r w:rsidRPr="00FD0FE3">
        <w:rPr>
          <w:rFonts w:ascii="Arial" w:hAnsi="Arial" w:cs="Arial"/>
          <w:sz w:val="22"/>
          <w:szCs w:val="22"/>
        </w:rPr>
        <w:t>Entry 2010:</w:t>
      </w:r>
    </w:p>
    <w:p w:rsidR="00FD0FE3" w:rsidRPr="00FD0FE3" w:rsidRDefault="00FD0FE3" w:rsidP="00FD0FE3">
      <w:pPr>
        <w:rPr>
          <w:rFonts w:ascii="Arial" w:hAnsi="Arial" w:cs="Arial"/>
          <w:sz w:val="22"/>
          <w:szCs w:val="22"/>
        </w:rPr>
      </w:pPr>
      <w:r w:rsidRPr="00FD0FE3">
        <w:rPr>
          <w:rFonts w:ascii="Arial" w:hAnsi="Arial" w:cs="Arial"/>
          <w:sz w:val="22"/>
          <w:szCs w:val="22"/>
        </w:rPr>
        <w:t>UG – 8; PGT – 48 (IKM 13, ILM 7, IMBT 28)</w:t>
      </w:r>
    </w:p>
    <w:p w:rsidR="00FD0FE3" w:rsidRPr="00FD0FE3" w:rsidRDefault="00FD0FE3" w:rsidP="00EE072C">
      <w:pPr>
        <w:spacing w:line="360" w:lineRule="auto"/>
        <w:rPr>
          <w:rFonts w:ascii="Arial" w:hAnsi="Arial" w:cs="Arial"/>
          <w:sz w:val="22"/>
          <w:szCs w:val="22"/>
        </w:rPr>
      </w:pPr>
    </w:p>
    <w:p w:rsidR="00FD0FE3" w:rsidRDefault="00FD0FE3" w:rsidP="00EE072C">
      <w:pPr>
        <w:spacing w:line="360" w:lineRule="auto"/>
        <w:rPr>
          <w:rFonts w:ascii="Arial" w:hAnsi="Arial" w:cs="Arial"/>
          <w:sz w:val="22"/>
          <w:szCs w:val="22"/>
        </w:rPr>
      </w:pPr>
      <w:r>
        <w:rPr>
          <w:rFonts w:ascii="Arial" w:hAnsi="Arial" w:cs="Arial"/>
          <w:sz w:val="22"/>
          <w:szCs w:val="22"/>
        </w:rPr>
        <w:t xml:space="preserve">The removal of the requirement of a year’s experience in an industry related to the </w:t>
      </w:r>
      <w:r w:rsidR="0066305C">
        <w:rPr>
          <w:rFonts w:ascii="Arial" w:hAnsi="Arial" w:cs="Arial"/>
          <w:sz w:val="22"/>
          <w:szCs w:val="22"/>
        </w:rPr>
        <w:t xml:space="preserve">IMBT </w:t>
      </w:r>
      <w:r>
        <w:rPr>
          <w:rFonts w:ascii="Arial" w:hAnsi="Arial" w:cs="Arial"/>
          <w:sz w:val="22"/>
          <w:szCs w:val="22"/>
        </w:rPr>
        <w:t xml:space="preserve">programme undoubtedly helped increase numbers.   </w:t>
      </w:r>
    </w:p>
    <w:p w:rsidR="0066305C" w:rsidRDefault="0066305C" w:rsidP="00EE072C">
      <w:pPr>
        <w:spacing w:line="360" w:lineRule="auto"/>
        <w:rPr>
          <w:rFonts w:ascii="Arial" w:hAnsi="Arial" w:cs="Arial"/>
          <w:sz w:val="22"/>
          <w:szCs w:val="22"/>
        </w:rPr>
      </w:pPr>
    </w:p>
    <w:p w:rsidR="0066305C" w:rsidRPr="00AA307D" w:rsidRDefault="0066305C" w:rsidP="00EE072C">
      <w:pPr>
        <w:spacing w:line="360" w:lineRule="auto"/>
        <w:rPr>
          <w:rFonts w:ascii="Arial" w:hAnsi="Arial" w:cs="Arial"/>
          <w:sz w:val="22"/>
          <w:szCs w:val="22"/>
        </w:rPr>
      </w:pPr>
      <w:r>
        <w:rPr>
          <w:rFonts w:ascii="Arial" w:hAnsi="Arial" w:cs="Arial"/>
          <w:sz w:val="22"/>
          <w:szCs w:val="22"/>
        </w:rPr>
        <w:t>For the undergradua</w:t>
      </w:r>
      <w:r w:rsidR="008C434B">
        <w:rPr>
          <w:rFonts w:ascii="Arial" w:hAnsi="Arial" w:cs="Arial"/>
          <w:sz w:val="22"/>
          <w:szCs w:val="22"/>
        </w:rPr>
        <w:t>te programmes, the department is</w:t>
      </w:r>
      <w:r>
        <w:rPr>
          <w:rFonts w:ascii="Arial" w:hAnsi="Arial" w:cs="Arial"/>
          <w:sz w:val="22"/>
          <w:szCs w:val="22"/>
        </w:rPr>
        <w:t xml:space="preserve"> now working through SEFS with Loughborough College to target international recruitment to the IMBS and IMC programmes.</w:t>
      </w:r>
      <w:r w:rsidR="00B40769">
        <w:rPr>
          <w:rFonts w:ascii="Arial" w:hAnsi="Arial" w:cs="Arial"/>
          <w:sz w:val="22"/>
          <w:szCs w:val="22"/>
        </w:rPr>
        <w:t xml:space="preserve">  Other new and ongoing </w:t>
      </w:r>
      <w:r w:rsidR="00B40769" w:rsidRPr="00AA307D">
        <w:rPr>
          <w:rFonts w:ascii="Arial" w:hAnsi="Arial" w:cs="Arial"/>
          <w:sz w:val="22"/>
          <w:szCs w:val="22"/>
        </w:rPr>
        <w:t>initiatives include:</w:t>
      </w:r>
    </w:p>
    <w:p w:rsidR="00B40769" w:rsidRPr="00AA307D" w:rsidRDefault="00B40769" w:rsidP="00B40769">
      <w:pPr>
        <w:numPr>
          <w:ilvl w:val="0"/>
          <w:numId w:val="4"/>
        </w:numPr>
        <w:rPr>
          <w:rFonts w:ascii="Arial" w:hAnsi="Arial" w:cs="Arial"/>
          <w:sz w:val="22"/>
          <w:szCs w:val="22"/>
        </w:rPr>
      </w:pPr>
      <w:r w:rsidRPr="00AA307D">
        <w:rPr>
          <w:rFonts w:ascii="Arial" w:hAnsi="Arial" w:cs="Arial"/>
          <w:sz w:val="22"/>
          <w:szCs w:val="22"/>
        </w:rPr>
        <w:t xml:space="preserve">Dr Gill </w:t>
      </w:r>
      <w:proofErr w:type="spellStart"/>
      <w:r w:rsidRPr="00AA307D">
        <w:rPr>
          <w:rFonts w:ascii="Arial" w:hAnsi="Arial" w:cs="Arial"/>
          <w:sz w:val="22"/>
          <w:szCs w:val="22"/>
        </w:rPr>
        <w:t>Ragsdell’s</w:t>
      </w:r>
      <w:proofErr w:type="spellEnd"/>
      <w:r w:rsidRPr="00AA307D">
        <w:rPr>
          <w:rFonts w:ascii="Arial" w:hAnsi="Arial" w:cs="Arial"/>
          <w:sz w:val="22"/>
          <w:szCs w:val="22"/>
        </w:rPr>
        <w:t xml:space="preserve"> </w:t>
      </w:r>
      <w:r w:rsidR="00AA307D" w:rsidRPr="00AA307D">
        <w:rPr>
          <w:rFonts w:ascii="Arial" w:hAnsi="Arial" w:cs="Arial"/>
          <w:sz w:val="22"/>
          <w:szCs w:val="22"/>
        </w:rPr>
        <w:t xml:space="preserve">recruitment </w:t>
      </w:r>
      <w:r w:rsidRPr="00AA307D">
        <w:rPr>
          <w:rFonts w:ascii="Arial" w:hAnsi="Arial" w:cs="Arial"/>
          <w:sz w:val="22"/>
          <w:szCs w:val="22"/>
        </w:rPr>
        <w:t xml:space="preserve">visit to the Middle East </w:t>
      </w:r>
      <w:r w:rsidR="00AA307D" w:rsidRPr="00AA307D">
        <w:rPr>
          <w:rFonts w:ascii="Arial" w:hAnsi="Arial" w:cs="Arial"/>
          <w:sz w:val="22"/>
          <w:szCs w:val="22"/>
        </w:rPr>
        <w:t>(w/c 24/10/2010)</w:t>
      </w:r>
      <w:r w:rsidR="003B41D1">
        <w:rPr>
          <w:rFonts w:ascii="Arial" w:hAnsi="Arial" w:cs="Arial"/>
          <w:sz w:val="22"/>
          <w:szCs w:val="22"/>
        </w:rPr>
        <w:t>;</w:t>
      </w:r>
    </w:p>
    <w:p w:rsidR="00B40769" w:rsidRPr="00AA307D" w:rsidRDefault="00AA307D" w:rsidP="00B40769">
      <w:pPr>
        <w:numPr>
          <w:ilvl w:val="0"/>
          <w:numId w:val="4"/>
        </w:numPr>
        <w:rPr>
          <w:rFonts w:ascii="Arial" w:hAnsi="Arial" w:cs="Arial"/>
          <w:sz w:val="22"/>
          <w:szCs w:val="22"/>
        </w:rPr>
      </w:pPr>
      <w:r w:rsidRPr="00AA307D">
        <w:rPr>
          <w:rFonts w:ascii="Arial" w:hAnsi="Arial" w:cs="Arial"/>
          <w:sz w:val="22"/>
          <w:szCs w:val="22"/>
        </w:rPr>
        <w:t>O</w:t>
      </w:r>
      <w:r w:rsidR="00B40769" w:rsidRPr="00AA307D">
        <w:rPr>
          <w:rFonts w:ascii="Arial" w:hAnsi="Arial" w:cs="Arial"/>
          <w:sz w:val="22"/>
          <w:szCs w:val="22"/>
        </w:rPr>
        <w:t>ngoing discussio</w:t>
      </w:r>
      <w:r w:rsidR="006E35F3">
        <w:rPr>
          <w:rFonts w:ascii="Arial" w:hAnsi="Arial" w:cs="Arial"/>
          <w:sz w:val="22"/>
          <w:szCs w:val="22"/>
        </w:rPr>
        <w:t xml:space="preserve">ns with Sun </w:t>
      </w:r>
      <w:proofErr w:type="spellStart"/>
      <w:r w:rsidR="006E35F3">
        <w:rPr>
          <w:rFonts w:ascii="Arial" w:hAnsi="Arial" w:cs="Arial"/>
          <w:sz w:val="22"/>
          <w:szCs w:val="22"/>
        </w:rPr>
        <w:t>Yat</w:t>
      </w:r>
      <w:proofErr w:type="spellEnd"/>
      <w:r w:rsidR="006E35F3">
        <w:rPr>
          <w:rFonts w:ascii="Arial" w:hAnsi="Arial" w:cs="Arial"/>
          <w:sz w:val="22"/>
          <w:szCs w:val="22"/>
        </w:rPr>
        <w:t xml:space="preserve"> </w:t>
      </w:r>
      <w:proofErr w:type="spellStart"/>
      <w:r w:rsidR="006E35F3">
        <w:rPr>
          <w:rFonts w:ascii="Arial" w:hAnsi="Arial" w:cs="Arial"/>
          <w:sz w:val="22"/>
          <w:szCs w:val="22"/>
        </w:rPr>
        <w:t>Sen</w:t>
      </w:r>
      <w:proofErr w:type="spellEnd"/>
      <w:r w:rsidR="006E35F3">
        <w:rPr>
          <w:rFonts w:ascii="Arial" w:hAnsi="Arial" w:cs="Arial"/>
          <w:sz w:val="22"/>
          <w:szCs w:val="22"/>
        </w:rPr>
        <w:t xml:space="preserve"> University in Guangzhou </w:t>
      </w:r>
      <w:r>
        <w:rPr>
          <w:rFonts w:ascii="Arial" w:hAnsi="Arial" w:cs="Arial"/>
          <w:sz w:val="22"/>
          <w:szCs w:val="22"/>
        </w:rPr>
        <w:t xml:space="preserve">related to the introduction of </w:t>
      </w:r>
      <w:r w:rsidR="006E35F3">
        <w:rPr>
          <w:rFonts w:ascii="Arial" w:hAnsi="Arial" w:cs="Arial"/>
          <w:sz w:val="22"/>
          <w:szCs w:val="22"/>
        </w:rPr>
        <w:t>a 2+1+1 arrangement</w:t>
      </w:r>
      <w:r w:rsidR="00B40769" w:rsidRPr="00AA307D">
        <w:rPr>
          <w:rFonts w:ascii="Arial" w:hAnsi="Arial" w:cs="Arial"/>
          <w:sz w:val="22"/>
          <w:szCs w:val="22"/>
        </w:rPr>
        <w:t>;</w:t>
      </w:r>
    </w:p>
    <w:p w:rsidR="00AA307D" w:rsidRPr="00AA307D" w:rsidRDefault="00B40769" w:rsidP="00B40769">
      <w:pPr>
        <w:numPr>
          <w:ilvl w:val="0"/>
          <w:numId w:val="4"/>
        </w:numPr>
        <w:rPr>
          <w:rFonts w:ascii="Arial" w:hAnsi="Arial" w:cs="Arial"/>
          <w:sz w:val="22"/>
          <w:szCs w:val="22"/>
        </w:rPr>
      </w:pPr>
      <w:r w:rsidRPr="00AA307D">
        <w:rPr>
          <w:rFonts w:ascii="Arial" w:hAnsi="Arial" w:cs="Arial"/>
          <w:sz w:val="22"/>
          <w:szCs w:val="22"/>
        </w:rPr>
        <w:t>Targeting of Agents</w:t>
      </w:r>
      <w:r w:rsidR="00AA307D" w:rsidRPr="00AA307D">
        <w:rPr>
          <w:rFonts w:ascii="Arial" w:hAnsi="Arial" w:cs="Arial"/>
          <w:sz w:val="22"/>
          <w:szCs w:val="22"/>
        </w:rPr>
        <w:t xml:space="preserve"> (via the International Office);</w:t>
      </w:r>
    </w:p>
    <w:p w:rsidR="00B40769" w:rsidRPr="00AA307D" w:rsidRDefault="00AA307D" w:rsidP="00B40769">
      <w:pPr>
        <w:numPr>
          <w:ilvl w:val="0"/>
          <w:numId w:val="4"/>
        </w:numPr>
        <w:rPr>
          <w:rFonts w:ascii="Arial" w:hAnsi="Arial" w:cs="Arial"/>
          <w:sz w:val="22"/>
          <w:szCs w:val="22"/>
        </w:rPr>
      </w:pPr>
      <w:r w:rsidRPr="00AA307D">
        <w:rPr>
          <w:rFonts w:ascii="Arial" w:hAnsi="Arial" w:cs="Arial"/>
          <w:sz w:val="22"/>
          <w:szCs w:val="22"/>
        </w:rPr>
        <w:t>Publishing of key d</w:t>
      </w:r>
      <w:r w:rsidR="00B40769" w:rsidRPr="00AA307D">
        <w:rPr>
          <w:rFonts w:ascii="Arial" w:hAnsi="Arial" w:cs="Arial"/>
          <w:sz w:val="22"/>
          <w:szCs w:val="22"/>
        </w:rPr>
        <w:t xml:space="preserve">epartmental information in </w:t>
      </w:r>
      <w:r w:rsidR="008C434B">
        <w:rPr>
          <w:rFonts w:ascii="Arial" w:hAnsi="Arial" w:cs="Arial"/>
          <w:sz w:val="22"/>
          <w:szCs w:val="22"/>
        </w:rPr>
        <w:t>other</w:t>
      </w:r>
      <w:r w:rsidR="00B40769" w:rsidRPr="00AA307D">
        <w:rPr>
          <w:rFonts w:ascii="Arial" w:hAnsi="Arial" w:cs="Arial"/>
          <w:sz w:val="22"/>
          <w:szCs w:val="22"/>
        </w:rPr>
        <w:t xml:space="preserve"> languages (Mandarin, Cantonese, Spanish);</w:t>
      </w:r>
    </w:p>
    <w:p w:rsidR="00B40769" w:rsidRDefault="00B40769" w:rsidP="00B40769">
      <w:pPr>
        <w:numPr>
          <w:ilvl w:val="0"/>
          <w:numId w:val="4"/>
        </w:numPr>
        <w:rPr>
          <w:rFonts w:ascii="Arial" w:hAnsi="Arial" w:cs="Arial"/>
          <w:sz w:val="22"/>
          <w:szCs w:val="22"/>
        </w:rPr>
      </w:pPr>
      <w:r w:rsidRPr="00AA307D">
        <w:rPr>
          <w:rFonts w:ascii="Arial" w:hAnsi="Arial" w:cs="Arial"/>
          <w:sz w:val="22"/>
          <w:szCs w:val="22"/>
        </w:rPr>
        <w:t xml:space="preserve">Google </w:t>
      </w:r>
      <w:proofErr w:type="spellStart"/>
      <w:r w:rsidRPr="00AA307D">
        <w:rPr>
          <w:rFonts w:ascii="Arial" w:hAnsi="Arial" w:cs="Arial"/>
          <w:sz w:val="22"/>
          <w:szCs w:val="22"/>
        </w:rPr>
        <w:t>Adwords</w:t>
      </w:r>
      <w:proofErr w:type="spellEnd"/>
      <w:r w:rsidRPr="00AA307D">
        <w:rPr>
          <w:rFonts w:ascii="Arial" w:hAnsi="Arial" w:cs="Arial"/>
          <w:sz w:val="22"/>
          <w:szCs w:val="22"/>
        </w:rPr>
        <w:t xml:space="preserve"> campaign aimed at the Far East market </w:t>
      </w:r>
      <w:r w:rsidR="00A34DA4">
        <w:rPr>
          <w:rFonts w:ascii="Arial" w:hAnsi="Arial" w:cs="Arial"/>
          <w:sz w:val="22"/>
          <w:szCs w:val="22"/>
        </w:rPr>
        <w:t>(in conjunction with the above);</w:t>
      </w:r>
    </w:p>
    <w:p w:rsidR="00A34DA4" w:rsidRPr="00AA307D" w:rsidRDefault="00A34DA4" w:rsidP="00B40769">
      <w:pPr>
        <w:numPr>
          <w:ilvl w:val="0"/>
          <w:numId w:val="4"/>
        </w:numPr>
        <w:rPr>
          <w:rFonts w:ascii="Arial" w:hAnsi="Arial" w:cs="Arial"/>
          <w:sz w:val="22"/>
          <w:szCs w:val="22"/>
        </w:rPr>
      </w:pPr>
      <w:r>
        <w:rPr>
          <w:rFonts w:ascii="Arial" w:hAnsi="Arial" w:cs="Arial"/>
          <w:sz w:val="22"/>
          <w:szCs w:val="22"/>
        </w:rPr>
        <w:t xml:space="preserve">Widespread dissemination of videos of PG students talking about their experiences on the department’s programmes available via various online channels (e.g. departmental website, YouTube, departmental </w:t>
      </w:r>
      <w:proofErr w:type="spellStart"/>
      <w:r>
        <w:rPr>
          <w:rFonts w:ascii="Arial" w:hAnsi="Arial" w:cs="Arial"/>
          <w:sz w:val="22"/>
          <w:szCs w:val="22"/>
        </w:rPr>
        <w:t>Facebook</w:t>
      </w:r>
      <w:proofErr w:type="spellEnd"/>
      <w:r>
        <w:rPr>
          <w:rFonts w:ascii="Arial" w:hAnsi="Arial" w:cs="Arial"/>
          <w:sz w:val="22"/>
          <w:szCs w:val="22"/>
        </w:rPr>
        <w:t xml:space="preserve"> page etc.)</w:t>
      </w:r>
    </w:p>
    <w:p w:rsidR="00B40769" w:rsidRPr="00B40769" w:rsidRDefault="00B40769" w:rsidP="00B40769">
      <w:pPr>
        <w:spacing w:line="360" w:lineRule="auto"/>
        <w:ind w:left="720"/>
        <w:rPr>
          <w:rFonts w:ascii="Arial" w:hAnsi="Arial" w:cs="Arial"/>
          <w:sz w:val="22"/>
          <w:szCs w:val="22"/>
        </w:rPr>
      </w:pPr>
    </w:p>
    <w:p w:rsidR="00FD0FE3" w:rsidRDefault="00FD0FE3" w:rsidP="00EE072C">
      <w:pPr>
        <w:spacing w:line="360" w:lineRule="auto"/>
        <w:rPr>
          <w:rFonts w:ascii="Arial" w:hAnsi="Arial" w:cs="Arial"/>
          <w:sz w:val="22"/>
          <w:szCs w:val="22"/>
        </w:rPr>
      </w:pPr>
    </w:p>
    <w:p w:rsidR="0071065C" w:rsidRDefault="0071065C" w:rsidP="00EE072C">
      <w:pPr>
        <w:spacing w:line="360" w:lineRule="auto"/>
        <w:rPr>
          <w:rFonts w:ascii="Arial" w:hAnsi="Arial" w:cs="Arial"/>
          <w:b/>
          <w:sz w:val="22"/>
          <w:szCs w:val="22"/>
        </w:rPr>
      </w:pPr>
      <w:r w:rsidRPr="00FD0FE3">
        <w:rPr>
          <w:rFonts w:ascii="Arial" w:hAnsi="Arial" w:cs="Arial"/>
          <w:b/>
          <w:sz w:val="22"/>
          <w:szCs w:val="22"/>
        </w:rPr>
        <w:lastRenderedPageBreak/>
        <w:t>5.5, 6.6: to continue efforts to make the PG programme</w:t>
      </w:r>
      <w:r w:rsidR="008C434B">
        <w:rPr>
          <w:rFonts w:ascii="Arial" w:hAnsi="Arial" w:cs="Arial"/>
          <w:b/>
          <w:sz w:val="22"/>
          <w:szCs w:val="22"/>
        </w:rPr>
        <w:t>s</w:t>
      </w:r>
      <w:r w:rsidRPr="00FD0FE3">
        <w:rPr>
          <w:rFonts w:ascii="Arial" w:hAnsi="Arial" w:cs="Arial"/>
          <w:b/>
          <w:sz w:val="22"/>
          <w:szCs w:val="22"/>
        </w:rPr>
        <w:t xml:space="preserve"> accessible for part-time student</w:t>
      </w:r>
      <w:r w:rsidR="008C434B">
        <w:rPr>
          <w:rFonts w:ascii="Arial" w:hAnsi="Arial" w:cs="Arial"/>
          <w:b/>
          <w:sz w:val="22"/>
          <w:szCs w:val="22"/>
        </w:rPr>
        <w:t>s</w:t>
      </w:r>
      <w:r w:rsidRPr="00FD0FE3">
        <w:rPr>
          <w:rFonts w:ascii="Arial" w:hAnsi="Arial" w:cs="Arial"/>
          <w:b/>
          <w:sz w:val="22"/>
          <w:szCs w:val="22"/>
        </w:rPr>
        <w:t>, and possibly consider the introduction of distance learning at a future date</w:t>
      </w:r>
    </w:p>
    <w:p w:rsidR="008C434B" w:rsidRPr="008C434B" w:rsidRDefault="008C434B" w:rsidP="008C434B">
      <w:pPr>
        <w:spacing w:line="360" w:lineRule="auto"/>
        <w:rPr>
          <w:rFonts w:ascii="Arial" w:hAnsi="Arial" w:cs="Arial"/>
          <w:sz w:val="22"/>
          <w:szCs w:val="22"/>
        </w:rPr>
      </w:pPr>
      <w:r w:rsidRPr="008C434B">
        <w:rPr>
          <w:rFonts w:ascii="Arial" w:hAnsi="Arial" w:cs="Arial"/>
          <w:sz w:val="22"/>
          <w:szCs w:val="22"/>
        </w:rPr>
        <w:t xml:space="preserve">For the Information and Library Management Programme, </w:t>
      </w:r>
      <w:r w:rsidR="00E16656">
        <w:rPr>
          <w:rFonts w:ascii="Arial" w:hAnsi="Arial" w:cs="Arial"/>
          <w:sz w:val="22"/>
          <w:szCs w:val="22"/>
        </w:rPr>
        <w:t>the department</w:t>
      </w:r>
      <w:r w:rsidRPr="008C434B">
        <w:rPr>
          <w:rFonts w:ascii="Arial" w:hAnsi="Arial" w:cs="Arial"/>
          <w:sz w:val="22"/>
          <w:szCs w:val="22"/>
        </w:rPr>
        <w:t xml:space="preserve"> targeted information at Learning Officers at the regional local authorities, as we have identified a potential market for </w:t>
      </w:r>
      <w:r w:rsidR="00E16656">
        <w:rPr>
          <w:rFonts w:ascii="Arial" w:hAnsi="Arial" w:cs="Arial"/>
          <w:sz w:val="22"/>
          <w:szCs w:val="22"/>
        </w:rPr>
        <w:t xml:space="preserve">part-time </w:t>
      </w:r>
      <w:r w:rsidRPr="008C434B">
        <w:rPr>
          <w:rFonts w:ascii="Arial" w:hAnsi="Arial" w:cs="Arial"/>
          <w:sz w:val="22"/>
          <w:szCs w:val="22"/>
        </w:rPr>
        <w:t xml:space="preserve">recruitment </w:t>
      </w:r>
      <w:r w:rsidR="00E16656">
        <w:rPr>
          <w:rFonts w:ascii="Arial" w:hAnsi="Arial" w:cs="Arial"/>
          <w:sz w:val="22"/>
          <w:szCs w:val="22"/>
        </w:rPr>
        <w:t>within these organisations</w:t>
      </w:r>
      <w:r w:rsidRPr="008C434B">
        <w:rPr>
          <w:rFonts w:ascii="Arial" w:hAnsi="Arial" w:cs="Arial"/>
          <w:sz w:val="22"/>
          <w:szCs w:val="22"/>
        </w:rPr>
        <w:t xml:space="preserve">. We will repeat this exercise and hope to extend it. The Programme Tutors for ILM and IKM have been investigating a mixed delivery mode with the prospect of delivering some modules in distance mode. A paper on this is due to be presented to </w:t>
      </w:r>
      <w:r w:rsidR="00E16656">
        <w:rPr>
          <w:rFonts w:ascii="Arial" w:hAnsi="Arial" w:cs="Arial"/>
          <w:sz w:val="22"/>
          <w:szCs w:val="22"/>
        </w:rPr>
        <w:t xml:space="preserve">a meeting of the </w:t>
      </w:r>
      <w:r w:rsidRPr="008C434B">
        <w:rPr>
          <w:rFonts w:ascii="Arial" w:hAnsi="Arial" w:cs="Arial"/>
          <w:sz w:val="22"/>
          <w:szCs w:val="22"/>
        </w:rPr>
        <w:t>PG</w:t>
      </w:r>
      <w:r w:rsidR="001632FA">
        <w:rPr>
          <w:rFonts w:ascii="Arial" w:hAnsi="Arial" w:cs="Arial"/>
          <w:sz w:val="22"/>
          <w:szCs w:val="22"/>
        </w:rPr>
        <w:t>T</w:t>
      </w:r>
      <w:r w:rsidR="00E16656">
        <w:rPr>
          <w:rFonts w:ascii="Arial" w:hAnsi="Arial" w:cs="Arial"/>
          <w:sz w:val="22"/>
          <w:szCs w:val="22"/>
        </w:rPr>
        <w:t xml:space="preserve"> team</w:t>
      </w:r>
      <w:r w:rsidRPr="008C434B">
        <w:rPr>
          <w:rFonts w:ascii="Arial" w:hAnsi="Arial" w:cs="Arial"/>
          <w:sz w:val="22"/>
          <w:szCs w:val="22"/>
        </w:rPr>
        <w:t xml:space="preserve"> after Christmas.</w:t>
      </w:r>
    </w:p>
    <w:p w:rsidR="0071065C" w:rsidRDefault="0071065C" w:rsidP="00EE072C">
      <w:pPr>
        <w:spacing w:line="360" w:lineRule="auto"/>
        <w:rPr>
          <w:rFonts w:ascii="Arial" w:hAnsi="Arial" w:cs="Arial"/>
          <w:sz w:val="22"/>
          <w:szCs w:val="22"/>
        </w:rPr>
      </w:pPr>
    </w:p>
    <w:p w:rsidR="00924A88" w:rsidRDefault="00924A88" w:rsidP="00EE072C">
      <w:pPr>
        <w:spacing w:line="360" w:lineRule="auto"/>
        <w:rPr>
          <w:rFonts w:ascii="Arial" w:hAnsi="Arial" w:cs="Arial"/>
          <w:sz w:val="22"/>
          <w:szCs w:val="22"/>
        </w:rPr>
      </w:pPr>
    </w:p>
    <w:p w:rsidR="0071065C" w:rsidRPr="00CC1616" w:rsidRDefault="0071065C" w:rsidP="00EE072C">
      <w:pPr>
        <w:spacing w:line="360" w:lineRule="auto"/>
        <w:rPr>
          <w:rFonts w:ascii="Arial" w:hAnsi="Arial" w:cs="Arial"/>
          <w:b/>
          <w:sz w:val="22"/>
          <w:szCs w:val="22"/>
        </w:rPr>
      </w:pPr>
      <w:r w:rsidRPr="00CC1616">
        <w:rPr>
          <w:rFonts w:ascii="Arial" w:hAnsi="Arial" w:cs="Arial"/>
          <w:b/>
          <w:sz w:val="22"/>
          <w:szCs w:val="22"/>
        </w:rPr>
        <w:t>6.5: to add a rubric to IMBS and IMC programme regulations to ensure that students undertook a diet of modules balanced between the two disciplines reflected in the degree title</w:t>
      </w:r>
    </w:p>
    <w:p w:rsidR="00AA307D" w:rsidRPr="006D0EE9" w:rsidRDefault="00AA307D" w:rsidP="00AA307D">
      <w:pPr>
        <w:spacing w:line="360" w:lineRule="auto"/>
        <w:rPr>
          <w:rFonts w:ascii="Arial" w:hAnsi="Arial" w:cs="Arial"/>
          <w:color w:val="FF0000"/>
          <w:sz w:val="22"/>
          <w:szCs w:val="22"/>
        </w:rPr>
      </w:pPr>
      <w:r w:rsidRPr="00AA307D">
        <w:rPr>
          <w:rFonts w:ascii="Arial" w:hAnsi="Arial" w:cs="Arial"/>
          <w:sz w:val="22"/>
          <w:szCs w:val="22"/>
        </w:rPr>
        <w:t xml:space="preserve">This point was relevant only to the final year of both programmes as in the first two </w:t>
      </w:r>
      <w:proofErr w:type="gramStart"/>
      <w:r w:rsidRPr="00AA307D">
        <w:rPr>
          <w:rFonts w:ascii="Arial" w:hAnsi="Arial" w:cs="Arial"/>
          <w:sz w:val="22"/>
          <w:szCs w:val="22"/>
        </w:rPr>
        <w:t>years,</w:t>
      </w:r>
      <w:proofErr w:type="gramEnd"/>
      <w:r w:rsidRPr="00AA307D">
        <w:rPr>
          <w:rFonts w:ascii="Arial" w:hAnsi="Arial" w:cs="Arial"/>
          <w:sz w:val="22"/>
          <w:szCs w:val="22"/>
        </w:rPr>
        <w:t xml:space="preserve"> students are required to take a balance of modules between the two disciplines.  The point was considered and discussed by the Programme Tutors and Learning and Teaching Committee and it was decided that su</w:t>
      </w:r>
      <w:r>
        <w:rPr>
          <w:rFonts w:ascii="Arial" w:hAnsi="Arial" w:cs="Arial"/>
          <w:sz w:val="22"/>
          <w:szCs w:val="22"/>
        </w:rPr>
        <w:t xml:space="preserve">ch a rubric was not appropriate.  It was </w:t>
      </w:r>
      <w:r w:rsidRPr="00AA307D">
        <w:rPr>
          <w:rFonts w:ascii="Arial" w:hAnsi="Arial" w:cs="Arial"/>
          <w:sz w:val="22"/>
          <w:szCs w:val="22"/>
        </w:rPr>
        <w:t xml:space="preserve">felt </w:t>
      </w:r>
      <w:r>
        <w:rPr>
          <w:rFonts w:ascii="Arial" w:hAnsi="Arial" w:cs="Arial"/>
          <w:sz w:val="22"/>
          <w:szCs w:val="22"/>
        </w:rPr>
        <w:t xml:space="preserve">important </w:t>
      </w:r>
      <w:r w:rsidR="008C434B">
        <w:rPr>
          <w:rFonts w:ascii="Arial" w:hAnsi="Arial" w:cs="Arial"/>
          <w:sz w:val="22"/>
          <w:szCs w:val="22"/>
        </w:rPr>
        <w:t>that students should</w:t>
      </w:r>
      <w:r w:rsidRPr="00AA307D">
        <w:rPr>
          <w:rFonts w:ascii="Arial" w:hAnsi="Arial" w:cs="Arial"/>
          <w:sz w:val="22"/>
          <w:szCs w:val="22"/>
        </w:rPr>
        <w:t xml:space="preserve"> </w:t>
      </w:r>
      <w:r>
        <w:rPr>
          <w:rFonts w:ascii="Arial" w:hAnsi="Arial" w:cs="Arial"/>
          <w:sz w:val="22"/>
          <w:szCs w:val="22"/>
        </w:rPr>
        <w:t xml:space="preserve">retain the </w:t>
      </w:r>
      <w:r w:rsidRPr="00AA307D">
        <w:rPr>
          <w:rFonts w:ascii="Arial" w:hAnsi="Arial" w:cs="Arial"/>
          <w:sz w:val="22"/>
          <w:szCs w:val="22"/>
        </w:rPr>
        <w:t xml:space="preserve">opportunity to tailor the programmes in the final year to suit their own interests and abilities </w:t>
      </w:r>
      <w:r>
        <w:rPr>
          <w:rFonts w:ascii="Arial" w:hAnsi="Arial" w:cs="Arial"/>
          <w:sz w:val="22"/>
          <w:szCs w:val="22"/>
        </w:rPr>
        <w:t>and that,</w:t>
      </w:r>
      <w:r w:rsidRPr="00AA307D">
        <w:rPr>
          <w:rFonts w:ascii="Arial" w:hAnsi="Arial" w:cs="Arial"/>
          <w:sz w:val="22"/>
          <w:szCs w:val="22"/>
        </w:rPr>
        <w:t xml:space="preserve"> over the cohorts as a whole</w:t>
      </w:r>
      <w:r>
        <w:rPr>
          <w:rFonts w:ascii="Arial" w:hAnsi="Arial" w:cs="Arial"/>
          <w:sz w:val="22"/>
          <w:szCs w:val="22"/>
        </w:rPr>
        <w:t>,</w:t>
      </w:r>
      <w:r w:rsidRPr="00AA307D">
        <w:rPr>
          <w:rFonts w:ascii="Arial" w:hAnsi="Arial" w:cs="Arial"/>
          <w:sz w:val="22"/>
          <w:szCs w:val="22"/>
        </w:rPr>
        <w:t xml:space="preserve"> the balance is reasonably even between the disciplines involved. </w:t>
      </w:r>
      <w:r w:rsidR="008C434B">
        <w:rPr>
          <w:rFonts w:ascii="Arial" w:hAnsi="Arial" w:cs="Arial"/>
          <w:sz w:val="22"/>
          <w:szCs w:val="22"/>
        </w:rPr>
        <w:t xml:space="preserve">The planning for the new undergraduate </w:t>
      </w:r>
      <w:r w:rsidR="008C434B" w:rsidRPr="006D0EE9">
        <w:rPr>
          <w:rFonts w:ascii="Arial" w:hAnsi="Arial" w:cs="Arial"/>
          <w:sz w:val="22"/>
          <w:szCs w:val="22"/>
        </w:rPr>
        <w:t xml:space="preserve">curriculum </w:t>
      </w:r>
      <w:r w:rsidRPr="006D0EE9">
        <w:rPr>
          <w:rFonts w:ascii="Arial" w:hAnsi="Arial" w:cs="Arial"/>
          <w:sz w:val="22"/>
          <w:szCs w:val="22"/>
        </w:rPr>
        <w:t>(scheduled for introduction October 2012) w</w:t>
      </w:r>
      <w:r w:rsidR="008C434B" w:rsidRPr="006D0EE9">
        <w:rPr>
          <w:rFonts w:ascii="Arial" w:hAnsi="Arial" w:cs="Arial"/>
          <w:sz w:val="22"/>
          <w:szCs w:val="22"/>
        </w:rPr>
        <w:t>ill consider all aspects of the content and structure of the undergraduate programmes, including this issue</w:t>
      </w:r>
      <w:r w:rsidR="006D0EE9" w:rsidRPr="006D0EE9">
        <w:rPr>
          <w:rFonts w:ascii="Arial" w:hAnsi="Arial" w:cs="Arial"/>
          <w:sz w:val="22"/>
          <w:szCs w:val="22"/>
        </w:rPr>
        <w:t>, and will ensure that students are given sufficient flexibility to direct their studies in Part C while making sure that the compulsory modules in Parts A, B and C fully cover the core elements of information management and computing or business studies</w:t>
      </w:r>
      <w:r w:rsidR="006D0EE9">
        <w:rPr>
          <w:rFonts w:ascii="Arial" w:hAnsi="Arial" w:cs="Arial"/>
          <w:sz w:val="22"/>
          <w:szCs w:val="22"/>
        </w:rPr>
        <w:t>.</w:t>
      </w:r>
    </w:p>
    <w:p w:rsidR="008176A7" w:rsidRPr="00AA307D" w:rsidRDefault="008176A7" w:rsidP="00AA307D">
      <w:pPr>
        <w:spacing w:line="360" w:lineRule="auto"/>
        <w:rPr>
          <w:rFonts w:ascii="Arial" w:hAnsi="Arial" w:cs="Arial"/>
          <w:sz w:val="22"/>
          <w:szCs w:val="22"/>
        </w:rPr>
      </w:pPr>
    </w:p>
    <w:p w:rsidR="00AA307D" w:rsidRDefault="00AA307D" w:rsidP="00EE072C">
      <w:pPr>
        <w:spacing w:line="360" w:lineRule="auto"/>
        <w:rPr>
          <w:rFonts w:ascii="Arial" w:hAnsi="Arial" w:cs="Arial"/>
          <w:sz w:val="22"/>
          <w:szCs w:val="22"/>
        </w:rPr>
      </w:pPr>
    </w:p>
    <w:p w:rsidR="008176A7" w:rsidRPr="00CC1616" w:rsidRDefault="008176A7" w:rsidP="00EE072C">
      <w:pPr>
        <w:spacing w:line="360" w:lineRule="auto"/>
        <w:rPr>
          <w:rFonts w:ascii="Arial" w:hAnsi="Arial" w:cs="Arial"/>
          <w:b/>
          <w:sz w:val="22"/>
          <w:szCs w:val="22"/>
        </w:rPr>
      </w:pPr>
      <w:r w:rsidRPr="00CC1616">
        <w:rPr>
          <w:rFonts w:ascii="Arial" w:hAnsi="Arial" w:cs="Arial"/>
          <w:b/>
          <w:sz w:val="22"/>
          <w:szCs w:val="22"/>
        </w:rPr>
        <w:t>6.7: to continue work on improving the consistency of the correlation between assessment loading and credit weighting.</w:t>
      </w:r>
    </w:p>
    <w:p w:rsidR="00CC1616" w:rsidRPr="004D7D3F" w:rsidRDefault="00CC1616" w:rsidP="004D7D3F">
      <w:pPr>
        <w:spacing w:line="360" w:lineRule="auto"/>
        <w:rPr>
          <w:rFonts w:ascii="Arial" w:hAnsi="Arial" w:cs="Arial"/>
          <w:sz w:val="22"/>
          <w:szCs w:val="22"/>
        </w:rPr>
      </w:pPr>
      <w:r>
        <w:rPr>
          <w:rFonts w:ascii="Arial" w:hAnsi="Arial" w:cs="Arial"/>
          <w:sz w:val="22"/>
          <w:szCs w:val="22"/>
        </w:rPr>
        <w:t xml:space="preserve">This point was of particular concern to student on PGT programmes, specifically the ILM programme.  An analysis of assessment loading and credit weighting was undertaken and the following recommendations </w:t>
      </w:r>
      <w:r w:rsidRPr="004D7D3F">
        <w:rPr>
          <w:rFonts w:ascii="Arial" w:hAnsi="Arial" w:cs="Arial"/>
          <w:sz w:val="22"/>
          <w:szCs w:val="22"/>
        </w:rPr>
        <w:t>were made:</w:t>
      </w:r>
    </w:p>
    <w:p w:rsidR="00CC1616" w:rsidRPr="004D7D3F" w:rsidRDefault="00CC1616" w:rsidP="004D7D3F">
      <w:pPr>
        <w:spacing w:line="360" w:lineRule="auto"/>
        <w:rPr>
          <w:rFonts w:ascii="Arial" w:hAnsi="Arial" w:cs="Arial"/>
          <w:sz w:val="22"/>
          <w:szCs w:val="22"/>
        </w:rPr>
      </w:pPr>
    </w:p>
    <w:p w:rsidR="004D7D3F" w:rsidRPr="00485253" w:rsidRDefault="004D7D3F" w:rsidP="004D7D3F">
      <w:pPr>
        <w:spacing w:line="360" w:lineRule="auto"/>
        <w:rPr>
          <w:rFonts w:ascii="Arial" w:hAnsi="Arial" w:cs="Arial"/>
          <w:bCs/>
          <w:color w:val="000000"/>
          <w:sz w:val="22"/>
          <w:szCs w:val="22"/>
        </w:rPr>
      </w:pPr>
      <w:r w:rsidRPr="00485253">
        <w:rPr>
          <w:rFonts w:ascii="Arial" w:hAnsi="Arial" w:cs="Arial"/>
          <w:bCs/>
          <w:color w:val="000000"/>
          <w:sz w:val="22"/>
          <w:szCs w:val="22"/>
        </w:rPr>
        <w:t>For 15 credit modules</w:t>
      </w:r>
    </w:p>
    <w:p w:rsidR="004D7D3F" w:rsidRPr="004D7D3F" w:rsidRDefault="004D7D3F" w:rsidP="004D7D3F">
      <w:pPr>
        <w:spacing w:line="360" w:lineRule="auto"/>
        <w:rPr>
          <w:rFonts w:ascii="Arial" w:hAnsi="Arial" w:cs="Arial"/>
          <w:color w:val="000000"/>
          <w:sz w:val="22"/>
          <w:szCs w:val="22"/>
        </w:rPr>
      </w:pPr>
      <w:r w:rsidRPr="004D7D3F">
        <w:rPr>
          <w:rFonts w:ascii="Arial" w:hAnsi="Arial" w:cs="Arial"/>
          <w:color w:val="000000"/>
          <w:sz w:val="22"/>
          <w:szCs w:val="22"/>
        </w:rPr>
        <w:t>Written assessed work (either one piece or several combined) should not exceed 4,000 words in total.</w:t>
      </w:r>
    </w:p>
    <w:p w:rsidR="004D7D3F" w:rsidRPr="004D7D3F" w:rsidRDefault="004D7D3F" w:rsidP="004D7D3F">
      <w:pPr>
        <w:spacing w:line="360" w:lineRule="auto"/>
        <w:rPr>
          <w:rFonts w:ascii="Arial" w:hAnsi="Arial" w:cs="Arial"/>
          <w:color w:val="000000"/>
          <w:sz w:val="22"/>
          <w:szCs w:val="22"/>
        </w:rPr>
      </w:pPr>
      <w:r w:rsidRPr="004D7D3F">
        <w:rPr>
          <w:rFonts w:ascii="Arial" w:hAnsi="Arial" w:cs="Arial"/>
          <w:color w:val="000000"/>
          <w:sz w:val="22"/>
          <w:szCs w:val="22"/>
        </w:rPr>
        <w:t xml:space="preserve">Written assessed work which forms part of the assessment combined with a presentation should not exceed </w:t>
      </w:r>
      <w:r w:rsidRPr="004D7D3F">
        <w:rPr>
          <w:rFonts w:ascii="Arial" w:hAnsi="Arial" w:cs="Arial"/>
          <w:bCs/>
          <w:color w:val="000000"/>
          <w:sz w:val="22"/>
          <w:szCs w:val="22"/>
        </w:rPr>
        <w:t>3,500</w:t>
      </w:r>
      <w:r w:rsidRPr="004D7D3F">
        <w:rPr>
          <w:rFonts w:ascii="Arial" w:hAnsi="Arial" w:cs="Arial"/>
          <w:color w:val="000000"/>
          <w:sz w:val="22"/>
          <w:szCs w:val="22"/>
        </w:rPr>
        <w:t xml:space="preserve"> words.</w:t>
      </w:r>
    </w:p>
    <w:p w:rsidR="004D7D3F" w:rsidRPr="004D7D3F" w:rsidRDefault="004D7D3F" w:rsidP="004D7D3F">
      <w:pPr>
        <w:spacing w:line="360" w:lineRule="auto"/>
        <w:rPr>
          <w:rFonts w:ascii="Arial" w:hAnsi="Arial" w:cs="Arial"/>
          <w:color w:val="000000"/>
          <w:sz w:val="22"/>
          <w:szCs w:val="22"/>
        </w:rPr>
      </w:pPr>
    </w:p>
    <w:p w:rsidR="004D7D3F" w:rsidRPr="00485253" w:rsidRDefault="004D7D3F" w:rsidP="004D7D3F">
      <w:pPr>
        <w:spacing w:line="360" w:lineRule="auto"/>
        <w:rPr>
          <w:rFonts w:ascii="Arial" w:hAnsi="Arial" w:cs="Arial"/>
          <w:bCs/>
          <w:color w:val="000000"/>
          <w:sz w:val="22"/>
          <w:szCs w:val="22"/>
        </w:rPr>
      </w:pPr>
      <w:r w:rsidRPr="00485253">
        <w:rPr>
          <w:rFonts w:ascii="Arial" w:hAnsi="Arial" w:cs="Arial"/>
          <w:bCs/>
          <w:color w:val="000000"/>
          <w:sz w:val="22"/>
          <w:szCs w:val="22"/>
        </w:rPr>
        <w:t>For 10 credit modules</w:t>
      </w:r>
    </w:p>
    <w:p w:rsidR="004D7D3F" w:rsidRPr="004D7D3F" w:rsidRDefault="004D7D3F" w:rsidP="004D7D3F">
      <w:pPr>
        <w:spacing w:line="360" w:lineRule="auto"/>
        <w:rPr>
          <w:rFonts w:ascii="Arial" w:hAnsi="Arial" w:cs="Arial"/>
          <w:color w:val="000000"/>
          <w:sz w:val="22"/>
          <w:szCs w:val="22"/>
        </w:rPr>
      </w:pPr>
      <w:r w:rsidRPr="004D7D3F">
        <w:rPr>
          <w:rFonts w:ascii="Arial" w:hAnsi="Arial" w:cs="Arial"/>
          <w:color w:val="000000"/>
          <w:sz w:val="22"/>
          <w:szCs w:val="22"/>
        </w:rPr>
        <w:t>Written assessed work (either one piece or several combined) should not exceed 3,000 words in total.</w:t>
      </w:r>
    </w:p>
    <w:p w:rsidR="004D7D3F" w:rsidRPr="004D7D3F" w:rsidRDefault="004D7D3F" w:rsidP="004D7D3F">
      <w:pPr>
        <w:spacing w:line="360" w:lineRule="auto"/>
        <w:rPr>
          <w:rFonts w:ascii="Arial" w:hAnsi="Arial" w:cs="Arial"/>
          <w:color w:val="000000"/>
          <w:sz w:val="22"/>
          <w:szCs w:val="22"/>
        </w:rPr>
      </w:pPr>
      <w:r w:rsidRPr="004D7D3F">
        <w:rPr>
          <w:rFonts w:ascii="Arial" w:hAnsi="Arial" w:cs="Arial"/>
          <w:color w:val="000000"/>
          <w:sz w:val="22"/>
          <w:szCs w:val="22"/>
        </w:rPr>
        <w:lastRenderedPageBreak/>
        <w:t xml:space="preserve">Written assessed work which forms part of the assessment combined with a presentation should not exceed </w:t>
      </w:r>
      <w:r w:rsidRPr="004D7D3F">
        <w:rPr>
          <w:rFonts w:ascii="Arial" w:hAnsi="Arial" w:cs="Arial"/>
          <w:bCs/>
          <w:color w:val="000000"/>
          <w:sz w:val="22"/>
          <w:szCs w:val="22"/>
        </w:rPr>
        <w:t>2,500</w:t>
      </w:r>
      <w:r w:rsidRPr="004D7D3F">
        <w:rPr>
          <w:rFonts w:ascii="Arial" w:hAnsi="Arial" w:cs="Arial"/>
          <w:color w:val="000000"/>
          <w:sz w:val="22"/>
          <w:szCs w:val="22"/>
        </w:rPr>
        <w:t xml:space="preserve"> words.</w:t>
      </w:r>
    </w:p>
    <w:p w:rsidR="004D7D3F" w:rsidRPr="004D7D3F" w:rsidRDefault="004D7D3F" w:rsidP="004D7D3F">
      <w:pPr>
        <w:spacing w:line="360" w:lineRule="auto"/>
        <w:rPr>
          <w:rFonts w:ascii="Arial" w:hAnsi="Arial" w:cs="Arial"/>
          <w:color w:val="000000"/>
          <w:sz w:val="22"/>
          <w:szCs w:val="22"/>
        </w:rPr>
      </w:pPr>
    </w:p>
    <w:p w:rsidR="00CC1616" w:rsidRPr="00CC1616" w:rsidRDefault="00CC1616" w:rsidP="00CC1616">
      <w:pPr>
        <w:spacing w:line="360" w:lineRule="auto"/>
        <w:rPr>
          <w:rFonts w:ascii="Arial" w:hAnsi="Arial" w:cs="Arial"/>
          <w:sz w:val="22"/>
          <w:szCs w:val="22"/>
        </w:rPr>
      </w:pPr>
    </w:p>
    <w:p w:rsidR="00CC1616" w:rsidRPr="00CC1616" w:rsidRDefault="00CC1616" w:rsidP="00CC1616">
      <w:pPr>
        <w:spacing w:line="360" w:lineRule="auto"/>
        <w:rPr>
          <w:rFonts w:ascii="Arial" w:hAnsi="Arial" w:cs="Arial"/>
          <w:sz w:val="22"/>
          <w:szCs w:val="22"/>
        </w:rPr>
      </w:pPr>
    </w:p>
    <w:p w:rsidR="008176A7" w:rsidRPr="00CC1616" w:rsidRDefault="008176A7" w:rsidP="00EE072C">
      <w:pPr>
        <w:spacing w:line="360" w:lineRule="auto"/>
        <w:rPr>
          <w:rFonts w:ascii="Arial" w:hAnsi="Arial" w:cs="Arial"/>
          <w:b/>
          <w:sz w:val="22"/>
          <w:szCs w:val="22"/>
        </w:rPr>
      </w:pPr>
      <w:r w:rsidRPr="00CC1616">
        <w:rPr>
          <w:rFonts w:ascii="Arial" w:hAnsi="Arial" w:cs="Arial"/>
          <w:b/>
          <w:sz w:val="22"/>
          <w:szCs w:val="22"/>
        </w:rPr>
        <w:t>6.11: to remain vigilant against academic misconduct and take steps to guard against the increasingly sophisticated methods which are being used.</w:t>
      </w:r>
    </w:p>
    <w:p w:rsidR="00CC1616" w:rsidRDefault="00B40769" w:rsidP="00EE072C">
      <w:pPr>
        <w:spacing w:line="360" w:lineRule="auto"/>
        <w:rPr>
          <w:rFonts w:ascii="Arial" w:hAnsi="Arial" w:cs="Arial"/>
          <w:sz w:val="22"/>
          <w:szCs w:val="22"/>
        </w:rPr>
      </w:pPr>
      <w:r>
        <w:rPr>
          <w:rFonts w:ascii="Arial" w:hAnsi="Arial" w:cs="Arial"/>
          <w:sz w:val="22"/>
          <w:szCs w:val="22"/>
        </w:rPr>
        <w:t>Information and advice about plagiarism is emphasised strongly during the induction of new students and reinforced throug</w:t>
      </w:r>
      <w:r w:rsidR="008C434B">
        <w:rPr>
          <w:rFonts w:ascii="Arial" w:hAnsi="Arial" w:cs="Arial"/>
          <w:sz w:val="22"/>
          <w:szCs w:val="22"/>
        </w:rPr>
        <w:t>h specific modules (e.g. ISA309</w:t>
      </w:r>
      <w:r>
        <w:rPr>
          <w:rFonts w:ascii="Arial" w:hAnsi="Arial" w:cs="Arial"/>
          <w:sz w:val="22"/>
          <w:szCs w:val="22"/>
        </w:rPr>
        <w:t xml:space="preserve"> Study</w:t>
      </w:r>
      <w:r w:rsidR="008C434B">
        <w:rPr>
          <w:rFonts w:ascii="Arial" w:hAnsi="Arial" w:cs="Arial"/>
          <w:sz w:val="22"/>
          <w:szCs w:val="22"/>
        </w:rPr>
        <w:t>ing Information Science; ISB010 Research Methods; ISC002 Project; ISP600</w:t>
      </w:r>
      <w:r>
        <w:rPr>
          <w:rFonts w:ascii="Arial" w:hAnsi="Arial" w:cs="Arial"/>
          <w:sz w:val="22"/>
          <w:szCs w:val="22"/>
        </w:rPr>
        <w:t xml:space="preserve"> Dissertation).  </w:t>
      </w:r>
      <w:proofErr w:type="gramStart"/>
      <w:r w:rsidR="006E35F3">
        <w:rPr>
          <w:rFonts w:ascii="Arial" w:hAnsi="Arial" w:cs="Arial"/>
          <w:sz w:val="22"/>
          <w:szCs w:val="22"/>
        </w:rPr>
        <w:t>Staff are</w:t>
      </w:r>
      <w:proofErr w:type="gramEnd"/>
      <w:r w:rsidR="006E35F3">
        <w:rPr>
          <w:rFonts w:ascii="Arial" w:hAnsi="Arial" w:cs="Arial"/>
          <w:sz w:val="22"/>
          <w:szCs w:val="22"/>
        </w:rPr>
        <w:t xml:space="preserve"> aware of the Turn-it-in</w:t>
      </w:r>
      <w:r w:rsidR="00F67447">
        <w:rPr>
          <w:rFonts w:ascii="Arial" w:hAnsi="Arial" w:cs="Arial"/>
          <w:sz w:val="22"/>
          <w:szCs w:val="22"/>
        </w:rPr>
        <w:t xml:space="preserve"> service and although we are not aware of any cases of commissioning, staff have been alerted to the possibility of this occurring. </w:t>
      </w:r>
    </w:p>
    <w:p w:rsidR="00CC1616" w:rsidRDefault="00CC1616" w:rsidP="00EE072C">
      <w:pPr>
        <w:spacing w:line="360" w:lineRule="auto"/>
        <w:rPr>
          <w:rFonts w:ascii="Arial" w:hAnsi="Arial" w:cs="Arial"/>
          <w:sz w:val="22"/>
          <w:szCs w:val="22"/>
        </w:rPr>
      </w:pPr>
    </w:p>
    <w:p w:rsidR="00CC1616" w:rsidRDefault="00CC1616" w:rsidP="00EE072C">
      <w:pPr>
        <w:spacing w:line="360" w:lineRule="auto"/>
        <w:rPr>
          <w:rFonts w:ascii="Arial" w:hAnsi="Arial" w:cs="Arial"/>
          <w:sz w:val="22"/>
          <w:szCs w:val="22"/>
        </w:rPr>
      </w:pPr>
    </w:p>
    <w:p w:rsidR="008176A7" w:rsidRPr="00F67447" w:rsidRDefault="008176A7" w:rsidP="00EE072C">
      <w:pPr>
        <w:spacing w:line="360" w:lineRule="auto"/>
        <w:rPr>
          <w:rFonts w:ascii="Arial" w:hAnsi="Arial" w:cs="Arial"/>
          <w:b/>
          <w:sz w:val="22"/>
          <w:szCs w:val="22"/>
        </w:rPr>
      </w:pPr>
      <w:r w:rsidRPr="00F67447">
        <w:rPr>
          <w:rFonts w:ascii="Arial" w:hAnsi="Arial" w:cs="Arial"/>
          <w:b/>
          <w:sz w:val="22"/>
          <w:szCs w:val="22"/>
        </w:rPr>
        <w:t xml:space="preserve">6.12: to ensure that the review of group work covered all the areas of concern </w:t>
      </w:r>
      <w:proofErr w:type="gramStart"/>
      <w:r w:rsidRPr="00F67447">
        <w:rPr>
          <w:rFonts w:ascii="Arial" w:hAnsi="Arial" w:cs="Arial"/>
          <w:b/>
          <w:sz w:val="22"/>
          <w:szCs w:val="22"/>
        </w:rPr>
        <w:t>raised</w:t>
      </w:r>
      <w:proofErr w:type="gramEnd"/>
      <w:r w:rsidRPr="00F67447">
        <w:rPr>
          <w:rFonts w:ascii="Arial" w:hAnsi="Arial" w:cs="Arial"/>
          <w:b/>
          <w:sz w:val="22"/>
          <w:szCs w:val="22"/>
        </w:rPr>
        <w:t xml:space="preserve"> by students.</w:t>
      </w:r>
    </w:p>
    <w:p w:rsidR="00F67447" w:rsidRPr="00F67447" w:rsidRDefault="00F67447" w:rsidP="00F67447">
      <w:pPr>
        <w:spacing w:line="360" w:lineRule="auto"/>
        <w:rPr>
          <w:rFonts w:ascii="Arial" w:hAnsi="Arial" w:cs="Arial"/>
          <w:color w:val="000000"/>
          <w:sz w:val="22"/>
          <w:szCs w:val="22"/>
        </w:rPr>
      </w:pPr>
      <w:r w:rsidRPr="00F67447">
        <w:rPr>
          <w:rFonts w:ascii="Arial" w:hAnsi="Arial" w:cs="Arial"/>
          <w:sz w:val="22"/>
          <w:szCs w:val="22"/>
        </w:rPr>
        <w:t xml:space="preserve">This issue was of particular concern to Part B IMC students.  The Programme Tutor undertook a review of the extent of </w:t>
      </w:r>
      <w:proofErr w:type="spellStart"/>
      <w:r w:rsidRPr="00F67447">
        <w:rPr>
          <w:rFonts w:ascii="Arial" w:hAnsi="Arial" w:cs="Arial"/>
          <w:sz w:val="22"/>
          <w:szCs w:val="22"/>
        </w:rPr>
        <w:t>groupwork</w:t>
      </w:r>
      <w:proofErr w:type="spellEnd"/>
      <w:r w:rsidRPr="00F67447">
        <w:rPr>
          <w:rFonts w:ascii="Arial" w:hAnsi="Arial" w:cs="Arial"/>
          <w:sz w:val="22"/>
          <w:szCs w:val="22"/>
        </w:rPr>
        <w:t xml:space="preserve"> and student concerns.  </w:t>
      </w:r>
      <w:r>
        <w:rPr>
          <w:rFonts w:ascii="Arial" w:hAnsi="Arial" w:cs="Arial"/>
          <w:sz w:val="22"/>
          <w:szCs w:val="22"/>
        </w:rPr>
        <w:t xml:space="preserve">It was found that there is a lot of </w:t>
      </w:r>
      <w:proofErr w:type="spellStart"/>
      <w:r>
        <w:rPr>
          <w:rFonts w:ascii="Arial" w:hAnsi="Arial" w:cs="Arial"/>
          <w:sz w:val="22"/>
          <w:szCs w:val="22"/>
        </w:rPr>
        <w:t>groupwork</w:t>
      </w:r>
      <w:proofErr w:type="spellEnd"/>
      <w:r>
        <w:rPr>
          <w:rFonts w:ascii="Arial" w:hAnsi="Arial" w:cs="Arial"/>
          <w:sz w:val="22"/>
          <w:szCs w:val="22"/>
        </w:rPr>
        <w:t xml:space="preserve"> in this part of the programme and that the students </w:t>
      </w:r>
      <w:r w:rsidR="00902D3F">
        <w:rPr>
          <w:rFonts w:ascii="Arial" w:hAnsi="Arial" w:cs="Arial"/>
          <w:sz w:val="22"/>
          <w:szCs w:val="22"/>
        </w:rPr>
        <w:t>are</w:t>
      </w:r>
      <w:r>
        <w:rPr>
          <w:rFonts w:ascii="Arial" w:hAnsi="Arial" w:cs="Arial"/>
          <w:sz w:val="22"/>
          <w:szCs w:val="22"/>
        </w:rPr>
        <w:t xml:space="preserve"> primarily concerned about </w:t>
      </w:r>
      <w:r w:rsidRPr="00F67447">
        <w:rPr>
          <w:rFonts w:ascii="Arial" w:hAnsi="Arial" w:cs="Arial"/>
          <w:color w:val="000000"/>
          <w:sz w:val="22"/>
          <w:szCs w:val="22"/>
        </w:rPr>
        <w:t xml:space="preserve">the logistics and practicalities of organising all the different group meetings for all the different pieces of work </w:t>
      </w:r>
      <w:r>
        <w:rPr>
          <w:rFonts w:ascii="Arial" w:hAnsi="Arial" w:cs="Arial"/>
          <w:color w:val="000000"/>
          <w:sz w:val="22"/>
          <w:szCs w:val="22"/>
        </w:rPr>
        <w:t xml:space="preserve">which </w:t>
      </w:r>
      <w:r w:rsidR="00902D3F">
        <w:rPr>
          <w:rFonts w:ascii="Arial" w:hAnsi="Arial" w:cs="Arial"/>
          <w:color w:val="000000"/>
          <w:sz w:val="22"/>
          <w:szCs w:val="22"/>
        </w:rPr>
        <w:t>can</w:t>
      </w:r>
      <w:r>
        <w:rPr>
          <w:rFonts w:ascii="Arial" w:hAnsi="Arial" w:cs="Arial"/>
          <w:color w:val="000000"/>
          <w:sz w:val="22"/>
          <w:szCs w:val="22"/>
        </w:rPr>
        <w:t xml:space="preserve"> prove</w:t>
      </w:r>
      <w:r w:rsidRPr="00F67447">
        <w:rPr>
          <w:rFonts w:ascii="Arial" w:hAnsi="Arial" w:cs="Arial"/>
          <w:color w:val="000000"/>
          <w:sz w:val="22"/>
          <w:szCs w:val="22"/>
        </w:rPr>
        <w:t xml:space="preserve"> difficult and time consuming.  </w:t>
      </w:r>
      <w:proofErr w:type="gramStart"/>
      <w:r>
        <w:rPr>
          <w:rFonts w:ascii="Arial" w:hAnsi="Arial" w:cs="Arial"/>
          <w:color w:val="000000"/>
          <w:sz w:val="22"/>
          <w:szCs w:val="22"/>
        </w:rPr>
        <w:t>Staff were</w:t>
      </w:r>
      <w:proofErr w:type="gramEnd"/>
      <w:r>
        <w:rPr>
          <w:rFonts w:ascii="Arial" w:hAnsi="Arial" w:cs="Arial"/>
          <w:color w:val="000000"/>
          <w:sz w:val="22"/>
          <w:szCs w:val="22"/>
        </w:rPr>
        <w:t xml:space="preserve"> asked to review their assessment practices in the light of the findings and consider alternatives.  Some staff responded that there were strong</w:t>
      </w:r>
      <w:r w:rsidRPr="00F67447">
        <w:rPr>
          <w:rFonts w:ascii="Arial" w:hAnsi="Arial" w:cs="Arial"/>
          <w:color w:val="000000"/>
          <w:sz w:val="22"/>
          <w:szCs w:val="22"/>
        </w:rPr>
        <w:t xml:space="preserve"> pedagogic and practical reasons to include </w:t>
      </w:r>
      <w:proofErr w:type="spellStart"/>
      <w:r w:rsidRPr="00F67447">
        <w:rPr>
          <w:rFonts w:ascii="Arial" w:hAnsi="Arial" w:cs="Arial"/>
          <w:color w:val="000000"/>
          <w:sz w:val="22"/>
          <w:szCs w:val="22"/>
        </w:rPr>
        <w:t>groupwork</w:t>
      </w:r>
      <w:proofErr w:type="spellEnd"/>
      <w:r w:rsidRPr="00F67447">
        <w:rPr>
          <w:rFonts w:ascii="Arial" w:hAnsi="Arial" w:cs="Arial"/>
          <w:color w:val="000000"/>
          <w:sz w:val="22"/>
          <w:szCs w:val="22"/>
        </w:rPr>
        <w:t xml:space="preserve"> as a learning and assessment method and it </w:t>
      </w:r>
      <w:r>
        <w:rPr>
          <w:rFonts w:ascii="Arial" w:hAnsi="Arial" w:cs="Arial"/>
          <w:color w:val="000000"/>
          <w:sz w:val="22"/>
          <w:szCs w:val="22"/>
        </w:rPr>
        <w:t>was</w:t>
      </w:r>
      <w:r w:rsidRPr="00F67447">
        <w:rPr>
          <w:rFonts w:ascii="Arial" w:hAnsi="Arial" w:cs="Arial"/>
          <w:color w:val="000000"/>
          <w:sz w:val="22"/>
          <w:szCs w:val="22"/>
        </w:rPr>
        <w:t xml:space="preserve"> impractical and/or undesirable to alter </w:t>
      </w:r>
      <w:r>
        <w:rPr>
          <w:rFonts w:ascii="Arial" w:hAnsi="Arial" w:cs="Arial"/>
          <w:color w:val="000000"/>
          <w:sz w:val="22"/>
          <w:szCs w:val="22"/>
        </w:rPr>
        <w:t>their</w:t>
      </w:r>
      <w:r w:rsidRPr="00F67447">
        <w:rPr>
          <w:rFonts w:ascii="Arial" w:hAnsi="Arial" w:cs="Arial"/>
          <w:color w:val="000000"/>
          <w:sz w:val="22"/>
          <w:szCs w:val="22"/>
        </w:rPr>
        <w:t xml:space="preserve"> assessment practices.  </w:t>
      </w:r>
      <w:proofErr w:type="gramStart"/>
      <w:r>
        <w:rPr>
          <w:rFonts w:ascii="Arial" w:hAnsi="Arial" w:cs="Arial"/>
          <w:color w:val="000000"/>
          <w:sz w:val="22"/>
          <w:szCs w:val="22"/>
        </w:rPr>
        <w:t>Staff were</w:t>
      </w:r>
      <w:proofErr w:type="gramEnd"/>
      <w:r>
        <w:rPr>
          <w:rFonts w:ascii="Arial" w:hAnsi="Arial" w:cs="Arial"/>
          <w:color w:val="000000"/>
          <w:sz w:val="22"/>
          <w:szCs w:val="22"/>
        </w:rPr>
        <w:t xml:space="preserve"> therefore advised to</w:t>
      </w:r>
      <w:r w:rsidRPr="00F67447">
        <w:rPr>
          <w:rFonts w:ascii="Arial" w:hAnsi="Arial" w:cs="Arial"/>
          <w:color w:val="000000"/>
          <w:sz w:val="22"/>
          <w:szCs w:val="22"/>
        </w:rPr>
        <w:t xml:space="preserve"> build into </w:t>
      </w:r>
      <w:r>
        <w:rPr>
          <w:rFonts w:ascii="Arial" w:hAnsi="Arial" w:cs="Arial"/>
          <w:color w:val="000000"/>
          <w:sz w:val="22"/>
          <w:szCs w:val="22"/>
        </w:rPr>
        <w:t>their</w:t>
      </w:r>
      <w:r w:rsidRPr="00F67447">
        <w:rPr>
          <w:rFonts w:ascii="Arial" w:hAnsi="Arial" w:cs="Arial"/>
          <w:color w:val="000000"/>
          <w:sz w:val="22"/>
          <w:szCs w:val="22"/>
        </w:rPr>
        <w:t xml:space="preserve"> module some timetabled sessions in which students could meet to organise their work.</w:t>
      </w:r>
      <w:r w:rsidR="0048196E">
        <w:rPr>
          <w:rFonts w:ascii="Arial" w:hAnsi="Arial" w:cs="Arial"/>
          <w:color w:val="000000"/>
          <w:sz w:val="22"/>
          <w:szCs w:val="22"/>
        </w:rPr>
        <w:t xml:space="preserve">  In addition, concerns had been raised by students (and External Examiners) about the allocation of marks for </w:t>
      </w:r>
      <w:proofErr w:type="spellStart"/>
      <w:r w:rsidR="0048196E">
        <w:rPr>
          <w:rFonts w:ascii="Arial" w:hAnsi="Arial" w:cs="Arial"/>
          <w:color w:val="000000"/>
          <w:sz w:val="22"/>
          <w:szCs w:val="22"/>
        </w:rPr>
        <w:t>groupwork</w:t>
      </w:r>
      <w:proofErr w:type="spellEnd"/>
      <w:r w:rsidR="00902D3F">
        <w:rPr>
          <w:rFonts w:ascii="Arial" w:hAnsi="Arial" w:cs="Arial"/>
          <w:color w:val="000000"/>
          <w:sz w:val="22"/>
          <w:szCs w:val="22"/>
        </w:rPr>
        <w:t xml:space="preserve"> (see 6.13 below) and the composition of groups.  Apart from in Part A when the students do not know one another and so it is more convenient and quicker to assign students to groups, staff have asked the module cohort whether they would prefer to be assigned to groups or select their own.</w:t>
      </w:r>
    </w:p>
    <w:p w:rsidR="00F67447" w:rsidRPr="00F67447" w:rsidRDefault="00F67447" w:rsidP="00F67447">
      <w:pPr>
        <w:rPr>
          <w:rFonts w:ascii="Arial" w:hAnsi="Arial" w:cs="Arial"/>
          <w:color w:val="000000"/>
          <w:sz w:val="22"/>
          <w:szCs w:val="22"/>
        </w:rPr>
      </w:pPr>
    </w:p>
    <w:p w:rsidR="00F67447" w:rsidRDefault="00F67447" w:rsidP="00EE072C">
      <w:pPr>
        <w:spacing w:line="360" w:lineRule="auto"/>
        <w:rPr>
          <w:rFonts w:ascii="Arial" w:hAnsi="Arial" w:cs="Arial"/>
          <w:sz w:val="22"/>
          <w:szCs w:val="22"/>
        </w:rPr>
      </w:pPr>
    </w:p>
    <w:p w:rsidR="008176A7" w:rsidRPr="00902D3F" w:rsidRDefault="008176A7" w:rsidP="00EE072C">
      <w:pPr>
        <w:spacing w:line="360" w:lineRule="auto"/>
        <w:rPr>
          <w:rFonts w:ascii="Arial" w:hAnsi="Arial" w:cs="Arial"/>
          <w:b/>
          <w:sz w:val="22"/>
          <w:szCs w:val="22"/>
        </w:rPr>
      </w:pPr>
      <w:r w:rsidRPr="00902D3F">
        <w:rPr>
          <w:rFonts w:ascii="Arial" w:hAnsi="Arial" w:cs="Arial"/>
          <w:b/>
          <w:sz w:val="22"/>
          <w:szCs w:val="22"/>
        </w:rPr>
        <w:t>6.13: to ensure that procedures for conducting peer or self-assessment were clear to students and examiners.</w:t>
      </w:r>
    </w:p>
    <w:p w:rsidR="00902D3F" w:rsidRDefault="00902D3F" w:rsidP="00EE072C">
      <w:pPr>
        <w:spacing w:line="360" w:lineRule="auto"/>
        <w:rPr>
          <w:rFonts w:ascii="Arial" w:hAnsi="Arial" w:cs="Arial"/>
          <w:sz w:val="22"/>
          <w:szCs w:val="22"/>
        </w:rPr>
      </w:pPr>
      <w:proofErr w:type="gramStart"/>
      <w:r>
        <w:rPr>
          <w:rFonts w:ascii="Arial" w:hAnsi="Arial" w:cs="Arial"/>
          <w:sz w:val="22"/>
          <w:szCs w:val="22"/>
        </w:rPr>
        <w:t>Staff have</w:t>
      </w:r>
      <w:proofErr w:type="gramEnd"/>
      <w:r>
        <w:rPr>
          <w:rFonts w:ascii="Arial" w:hAnsi="Arial" w:cs="Arial"/>
          <w:sz w:val="22"/>
          <w:szCs w:val="22"/>
        </w:rPr>
        <w:t xml:space="preserve"> been requested to ensure that all module and assessment documentation is clear and transparent with regard to how peer and self-assessment will be conducted.  </w:t>
      </w:r>
      <w:r w:rsidR="00975417">
        <w:rPr>
          <w:rFonts w:ascii="Arial" w:hAnsi="Arial" w:cs="Arial"/>
          <w:sz w:val="22"/>
          <w:szCs w:val="22"/>
        </w:rPr>
        <w:t xml:space="preserve">They have also been advised to spend time in class explaining the practicalities and rationale for the procedures.  </w:t>
      </w:r>
      <w:r>
        <w:rPr>
          <w:rFonts w:ascii="Arial" w:hAnsi="Arial" w:cs="Arial"/>
          <w:sz w:val="22"/>
          <w:szCs w:val="22"/>
        </w:rPr>
        <w:t xml:space="preserve">Dr Derek Stephens supervised a final year project student on the topic of group development and peer assessment </w:t>
      </w:r>
      <w:r w:rsidR="00975417">
        <w:rPr>
          <w:rFonts w:ascii="Arial" w:hAnsi="Arial" w:cs="Arial"/>
          <w:sz w:val="22"/>
          <w:szCs w:val="22"/>
        </w:rPr>
        <w:t xml:space="preserve">completed in June 2010 </w:t>
      </w:r>
      <w:r>
        <w:rPr>
          <w:rFonts w:ascii="Arial" w:hAnsi="Arial" w:cs="Arial"/>
          <w:sz w:val="22"/>
          <w:szCs w:val="22"/>
        </w:rPr>
        <w:t>which will form the basis for further discussion at Learning and Teaching Committee</w:t>
      </w:r>
      <w:r w:rsidR="00975417">
        <w:rPr>
          <w:rFonts w:ascii="Arial" w:hAnsi="Arial" w:cs="Arial"/>
          <w:sz w:val="22"/>
          <w:szCs w:val="22"/>
        </w:rPr>
        <w:t>.</w:t>
      </w:r>
    </w:p>
    <w:p w:rsidR="00902D3F" w:rsidRDefault="00902D3F" w:rsidP="00EE072C">
      <w:pPr>
        <w:spacing w:line="360" w:lineRule="auto"/>
        <w:rPr>
          <w:rFonts w:ascii="Arial" w:hAnsi="Arial" w:cs="Arial"/>
          <w:sz w:val="22"/>
          <w:szCs w:val="22"/>
        </w:rPr>
      </w:pPr>
    </w:p>
    <w:p w:rsidR="008176A7" w:rsidRDefault="008176A7" w:rsidP="00EE072C">
      <w:pPr>
        <w:spacing w:line="360" w:lineRule="auto"/>
        <w:rPr>
          <w:rFonts w:ascii="Arial" w:hAnsi="Arial" w:cs="Arial"/>
          <w:sz w:val="22"/>
          <w:szCs w:val="22"/>
        </w:rPr>
      </w:pPr>
    </w:p>
    <w:p w:rsidR="008176A7" w:rsidRPr="00975417" w:rsidRDefault="008176A7" w:rsidP="00EE072C">
      <w:pPr>
        <w:spacing w:line="360" w:lineRule="auto"/>
        <w:rPr>
          <w:rFonts w:ascii="Arial" w:hAnsi="Arial" w:cs="Arial"/>
          <w:b/>
          <w:sz w:val="22"/>
          <w:szCs w:val="22"/>
        </w:rPr>
      </w:pPr>
      <w:r w:rsidRPr="00975417">
        <w:rPr>
          <w:rFonts w:ascii="Arial" w:hAnsi="Arial" w:cs="Arial"/>
          <w:b/>
          <w:sz w:val="22"/>
          <w:szCs w:val="22"/>
        </w:rPr>
        <w:t xml:space="preserve">6.14: to address the points raised by the </w:t>
      </w:r>
      <w:proofErr w:type="gramStart"/>
      <w:r w:rsidRPr="00975417">
        <w:rPr>
          <w:rFonts w:ascii="Arial" w:hAnsi="Arial" w:cs="Arial"/>
          <w:b/>
          <w:sz w:val="22"/>
          <w:szCs w:val="22"/>
        </w:rPr>
        <w:t>AD(</w:t>
      </w:r>
      <w:proofErr w:type="gramEnd"/>
      <w:r w:rsidRPr="00975417">
        <w:rPr>
          <w:rFonts w:ascii="Arial" w:hAnsi="Arial" w:cs="Arial"/>
          <w:b/>
          <w:sz w:val="22"/>
          <w:szCs w:val="22"/>
        </w:rPr>
        <w:t>T) in respect</w:t>
      </w:r>
      <w:r w:rsidR="00FD0FE3" w:rsidRPr="00975417">
        <w:rPr>
          <w:rFonts w:ascii="Arial" w:hAnsi="Arial" w:cs="Arial"/>
          <w:b/>
          <w:sz w:val="22"/>
          <w:szCs w:val="22"/>
        </w:rPr>
        <w:t xml:space="preserve"> of programme documentation</w:t>
      </w:r>
    </w:p>
    <w:p w:rsidR="00975417" w:rsidRDefault="00975417" w:rsidP="00EE072C">
      <w:pPr>
        <w:spacing w:line="360" w:lineRule="auto"/>
        <w:rPr>
          <w:rFonts w:ascii="Arial" w:hAnsi="Arial" w:cs="Arial"/>
          <w:sz w:val="22"/>
          <w:szCs w:val="22"/>
        </w:rPr>
      </w:pPr>
      <w:r>
        <w:rPr>
          <w:rFonts w:ascii="Arial" w:hAnsi="Arial" w:cs="Arial"/>
          <w:sz w:val="22"/>
          <w:szCs w:val="22"/>
        </w:rPr>
        <w:t>These have been addressed and the programme documentation has been amended accordingly.</w:t>
      </w:r>
    </w:p>
    <w:p w:rsidR="00975417" w:rsidRDefault="00975417" w:rsidP="00EE072C">
      <w:pPr>
        <w:spacing w:line="360" w:lineRule="auto"/>
        <w:rPr>
          <w:rFonts w:ascii="Arial" w:hAnsi="Arial" w:cs="Arial"/>
          <w:sz w:val="22"/>
          <w:szCs w:val="22"/>
        </w:rPr>
      </w:pPr>
    </w:p>
    <w:p w:rsidR="00924A88" w:rsidRDefault="00924A88" w:rsidP="00EE072C">
      <w:pPr>
        <w:spacing w:line="360" w:lineRule="auto"/>
        <w:rPr>
          <w:rFonts w:ascii="Arial" w:hAnsi="Arial" w:cs="Arial"/>
          <w:sz w:val="22"/>
          <w:szCs w:val="22"/>
        </w:rPr>
      </w:pPr>
    </w:p>
    <w:p w:rsidR="00FD0FE3" w:rsidRPr="00975417" w:rsidRDefault="00FD0FE3" w:rsidP="00EE072C">
      <w:pPr>
        <w:spacing w:line="360" w:lineRule="auto"/>
        <w:rPr>
          <w:rFonts w:ascii="Arial" w:hAnsi="Arial" w:cs="Arial"/>
          <w:b/>
          <w:sz w:val="22"/>
          <w:szCs w:val="22"/>
        </w:rPr>
      </w:pPr>
      <w:r w:rsidRPr="00975417">
        <w:rPr>
          <w:rFonts w:ascii="Arial" w:hAnsi="Arial" w:cs="Arial"/>
          <w:b/>
          <w:sz w:val="22"/>
          <w:szCs w:val="22"/>
        </w:rPr>
        <w:t>7.2: to reconsider introducing personal academic contact into a first year module</w:t>
      </w:r>
    </w:p>
    <w:p w:rsidR="00975417" w:rsidRDefault="00975417" w:rsidP="00EE072C">
      <w:pPr>
        <w:spacing w:line="360" w:lineRule="auto"/>
        <w:rPr>
          <w:rFonts w:ascii="Arial" w:hAnsi="Arial" w:cs="Arial"/>
          <w:sz w:val="22"/>
          <w:szCs w:val="22"/>
        </w:rPr>
      </w:pPr>
      <w:r>
        <w:rPr>
          <w:rFonts w:ascii="Arial" w:hAnsi="Arial" w:cs="Arial"/>
          <w:sz w:val="22"/>
          <w:szCs w:val="22"/>
        </w:rPr>
        <w:t xml:space="preserve">It was intended to introduce contact with personal tutors into the first year module ISA309 Studying Information Science </w:t>
      </w:r>
      <w:r w:rsidR="00A86D43">
        <w:rPr>
          <w:rFonts w:ascii="Arial" w:hAnsi="Arial" w:cs="Arial"/>
          <w:sz w:val="22"/>
          <w:szCs w:val="22"/>
        </w:rPr>
        <w:t>for</w:t>
      </w:r>
      <w:r>
        <w:rPr>
          <w:rFonts w:ascii="Arial" w:hAnsi="Arial" w:cs="Arial"/>
          <w:sz w:val="22"/>
          <w:szCs w:val="22"/>
        </w:rPr>
        <w:t xml:space="preserve"> the academic year 2010-2011.  This proved logistically impossible, however.  The nature of the undergraduate programmes, all of which are taught in liaison with other academic departments within the University, means that the timetabling of a suitable slot when all students and staff were available proved difficult.  In addition, the number of students assigned as </w:t>
      </w:r>
      <w:r w:rsidR="00924A88">
        <w:rPr>
          <w:rFonts w:ascii="Arial" w:hAnsi="Arial" w:cs="Arial"/>
          <w:sz w:val="22"/>
          <w:szCs w:val="22"/>
        </w:rPr>
        <w:t xml:space="preserve">Part A </w:t>
      </w:r>
      <w:r>
        <w:rPr>
          <w:rFonts w:ascii="Arial" w:hAnsi="Arial" w:cs="Arial"/>
          <w:sz w:val="22"/>
          <w:szCs w:val="22"/>
        </w:rPr>
        <w:t xml:space="preserve">personal tutees to each member of staff is very high in some cases - not all departmental staff carry the same load for a variety of reasons (e.g. other University duties, part-time contract, </w:t>
      </w:r>
      <w:r w:rsidR="00924A88">
        <w:rPr>
          <w:rFonts w:ascii="Arial" w:hAnsi="Arial" w:cs="Arial"/>
          <w:sz w:val="22"/>
          <w:szCs w:val="22"/>
        </w:rPr>
        <w:t>maternity leave, study leave</w:t>
      </w:r>
      <w:r w:rsidR="00A86D43">
        <w:rPr>
          <w:rFonts w:ascii="Arial" w:hAnsi="Arial" w:cs="Arial"/>
          <w:sz w:val="22"/>
          <w:szCs w:val="22"/>
        </w:rPr>
        <w:t>,</w:t>
      </w:r>
      <w:r w:rsidR="00924A88">
        <w:rPr>
          <w:rFonts w:ascii="Arial" w:hAnsi="Arial" w:cs="Arial"/>
          <w:sz w:val="22"/>
          <w:szCs w:val="22"/>
        </w:rPr>
        <w:t xml:space="preserve"> probation etc.).  This means that some staff would have a large number of personal tutees (up </w:t>
      </w:r>
      <w:r w:rsidR="00924A88" w:rsidRPr="008C434B">
        <w:rPr>
          <w:rFonts w:ascii="Arial" w:hAnsi="Arial" w:cs="Arial"/>
          <w:sz w:val="22"/>
          <w:szCs w:val="22"/>
        </w:rPr>
        <w:t xml:space="preserve">to </w:t>
      </w:r>
      <w:r w:rsidR="008C434B" w:rsidRPr="008C434B">
        <w:rPr>
          <w:rFonts w:ascii="Arial" w:hAnsi="Arial" w:cs="Arial"/>
          <w:sz w:val="22"/>
          <w:szCs w:val="22"/>
        </w:rPr>
        <w:t xml:space="preserve">24) </w:t>
      </w:r>
      <w:r w:rsidR="00924A88" w:rsidRPr="008C434B">
        <w:rPr>
          <w:rFonts w:ascii="Arial" w:hAnsi="Arial" w:cs="Arial"/>
          <w:sz w:val="22"/>
          <w:szCs w:val="22"/>
        </w:rPr>
        <w:t>in</w:t>
      </w:r>
      <w:r w:rsidR="00924A88">
        <w:rPr>
          <w:rFonts w:ascii="Arial" w:hAnsi="Arial" w:cs="Arial"/>
          <w:sz w:val="22"/>
          <w:szCs w:val="22"/>
        </w:rPr>
        <w:t xml:space="preserve"> a personal tutoring contact session which was not considered desirable.</w:t>
      </w:r>
    </w:p>
    <w:p w:rsidR="00975417" w:rsidRDefault="00975417" w:rsidP="00EE072C">
      <w:pPr>
        <w:spacing w:line="360" w:lineRule="auto"/>
        <w:rPr>
          <w:rFonts w:ascii="Arial" w:hAnsi="Arial" w:cs="Arial"/>
          <w:sz w:val="22"/>
          <w:szCs w:val="22"/>
        </w:rPr>
      </w:pPr>
    </w:p>
    <w:p w:rsidR="00A86D43" w:rsidRDefault="00A86D43" w:rsidP="00EE072C">
      <w:pPr>
        <w:spacing w:line="360" w:lineRule="auto"/>
        <w:rPr>
          <w:rFonts w:ascii="Arial" w:hAnsi="Arial" w:cs="Arial"/>
          <w:sz w:val="22"/>
          <w:szCs w:val="22"/>
        </w:rPr>
      </w:pPr>
    </w:p>
    <w:p w:rsidR="00FD0FE3" w:rsidRPr="00924A88" w:rsidRDefault="00FD0FE3" w:rsidP="00EE072C">
      <w:pPr>
        <w:spacing w:line="360" w:lineRule="auto"/>
        <w:rPr>
          <w:rFonts w:ascii="Arial" w:hAnsi="Arial" w:cs="Arial"/>
          <w:b/>
          <w:sz w:val="22"/>
          <w:szCs w:val="22"/>
        </w:rPr>
      </w:pPr>
      <w:r w:rsidRPr="00924A88">
        <w:rPr>
          <w:rFonts w:ascii="Arial" w:hAnsi="Arial" w:cs="Arial"/>
          <w:b/>
          <w:sz w:val="22"/>
          <w:szCs w:val="22"/>
        </w:rPr>
        <w:t>7.7: to pursue work in progress on the presentation of feedback to students on assessed coursework</w:t>
      </w:r>
    </w:p>
    <w:p w:rsidR="00FD0FE3" w:rsidRDefault="00A86D43" w:rsidP="00EE072C">
      <w:pPr>
        <w:spacing w:line="360" w:lineRule="auto"/>
        <w:rPr>
          <w:rFonts w:ascii="Arial" w:hAnsi="Arial" w:cs="Arial"/>
          <w:sz w:val="22"/>
          <w:szCs w:val="22"/>
        </w:rPr>
      </w:pPr>
      <w:r>
        <w:rPr>
          <w:rFonts w:ascii="Arial" w:hAnsi="Arial" w:cs="Arial"/>
          <w:sz w:val="22"/>
          <w:szCs w:val="22"/>
        </w:rPr>
        <w:t xml:space="preserve">Not all External Examiners’ reports </w:t>
      </w:r>
      <w:r w:rsidR="008C434B">
        <w:rPr>
          <w:rFonts w:ascii="Arial" w:hAnsi="Arial" w:cs="Arial"/>
          <w:sz w:val="22"/>
          <w:szCs w:val="22"/>
        </w:rPr>
        <w:t xml:space="preserve">for 2009-2010 </w:t>
      </w:r>
      <w:r>
        <w:rPr>
          <w:rFonts w:ascii="Arial" w:hAnsi="Arial" w:cs="Arial"/>
          <w:sz w:val="22"/>
          <w:szCs w:val="22"/>
        </w:rPr>
        <w:t>have yet been received; a review of their comments on this topic will be undertaken when they arrive.  Slight changes have been incorporated into the generic cover and feedback sheet for the academic year 2010-2011 and staff have been advised to use this where practicable.</w:t>
      </w:r>
    </w:p>
    <w:p w:rsidR="00924A88" w:rsidRDefault="00924A88" w:rsidP="00EE072C">
      <w:pPr>
        <w:spacing w:line="360" w:lineRule="auto"/>
        <w:rPr>
          <w:rFonts w:ascii="Arial" w:hAnsi="Arial" w:cs="Arial"/>
          <w:sz w:val="22"/>
          <w:szCs w:val="22"/>
        </w:rPr>
      </w:pPr>
    </w:p>
    <w:p w:rsidR="00924A88" w:rsidRDefault="00924A88" w:rsidP="00EE072C">
      <w:pPr>
        <w:spacing w:line="360" w:lineRule="auto"/>
        <w:rPr>
          <w:rFonts w:ascii="Arial" w:hAnsi="Arial" w:cs="Arial"/>
          <w:sz w:val="22"/>
          <w:szCs w:val="22"/>
        </w:rPr>
      </w:pPr>
    </w:p>
    <w:p w:rsidR="00FD0FE3" w:rsidRDefault="00FD0FE3" w:rsidP="00EE072C">
      <w:pPr>
        <w:spacing w:line="360" w:lineRule="auto"/>
        <w:rPr>
          <w:rFonts w:ascii="Arial" w:hAnsi="Arial" w:cs="Arial"/>
          <w:b/>
          <w:sz w:val="22"/>
          <w:szCs w:val="22"/>
        </w:rPr>
      </w:pPr>
      <w:r w:rsidRPr="00924A88">
        <w:rPr>
          <w:rFonts w:ascii="Arial" w:hAnsi="Arial" w:cs="Arial"/>
          <w:b/>
          <w:sz w:val="22"/>
          <w:szCs w:val="22"/>
        </w:rPr>
        <w:t xml:space="preserve">8.4: to help the reader to trace actions on issues </w:t>
      </w:r>
      <w:proofErr w:type="gramStart"/>
      <w:r w:rsidRPr="00924A88">
        <w:rPr>
          <w:rFonts w:ascii="Arial" w:hAnsi="Arial" w:cs="Arial"/>
          <w:b/>
          <w:sz w:val="22"/>
          <w:szCs w:val="22"/>
        </w:rPr>
        <w:t>raised</w:t>
      </w:r>
      <w:proofErr w:type="gramEnd"/>
      <w:r w:rsidRPr="00924A88">
        <w:rPr>
          <w:rFonts w:ascii="Arial" w:hAnsi="Arial" w:cs="Arial"/>
          <w:b/>
          <w:sz w:val="22"/>
          <w:szCs w:val="22"/>
        </w:rPr>
        <w:t xml:space="preserve"> at the Staff Student co</w:t>
      </w:r>
      <w:r w:rsidR="00924A88" w:rsidRPr="00924A88">
        <w:rPr>
          <w:rFonts w:ascii="Arial" w:hAnsi="Arial" w:cs="Arial"/>
          <w:b/>
          <w:sz w:val="22"/>
          <w:szCs w:val="22"/>
        </w:rPr>
        <w:t>mmittee by better cross refere</w:t>
      </w:r>
      <w:r w:rsidRPr="00924A88">
        <w:rPr>
          <w:rFonts w:ascii="Arial" w:hAnsi="Arial" w:cs="Arial"/>
          <w:b/>
          <w:sz w:val="22"/>
          <w:szCs w:val="22"/>
        </w:rPr>
        <w:t xml:space="preserve">ncing.  </w:t>
      </w:r>
    </w:p>
    <w:p w:rsidR="008C434B" w:rsidRPr="008C434B" w:rsidRDefault="008C434B" w:rsidP="00EE072C">
      <w:pPr>
        <w:spacing w:line="360" w:lineRule="auto"/>
        <w:rPr>
          <w:rFonts w:ascii="Arial" w:hAnsi="Arial" w:cs="Arial"/>
          <w:sz w:val="22"/>
          <w:szCs w:val="22"/>
        </w:rPr>
      </w:pPr>
      <w:r w:rsidRPr="008C434B">
        <w:rPr>
          <w:rFonts w:ascii="Arial" w:hAnsi="Arial" w:cs="Arial"/>
          <w:sz w:val="22"/>
          <w:szCs w:val="22"/>
        </w:rPr>
        <w:t>This will be addressed in referencing of the minutes with effect from the first meeting in 2010-2011.</w:t>
      </w:r>
    </w:p>
    <w:sectPr w:rsidR="008C434B" w:rsidRPr="008C434B" w:rsidSect="003A1326">
      <w:headerReference w:type="even" r:id="rId9"/>
      <w:headerReference w:type="default" r:id="rId10"/>
      <w:footerReference w:type="even" r:id="rId11"/>
      <w:footerReference w:type="default" r:id="rId12"/>
      <w:headerReference w:type="first" r:id="rId13"/>
      <w:footerReference w:type="first" r:id="rId14"/>
      <w:pgSz w:w="11909" w:h="16834"/>
      <w:pgMar w:top="720" w:right="720" w:bottom="1440" w:left="72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59F8" w:rsidRDefault="006C59F8" w:rsidP="006C59F8">
      <w:r>
        <w:separator/>
      </w:r>
    </w:p>
  </w:endnote>
  <w:endnote w:type="continuationSeparator" w:id="0">
    <w:p w:rsidR="006C59F8" w:rsidRDefault="006C59F8" w:rsidP="006C5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F8" w:rsidRDefault="006C59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F8" w:rsidRDefault="006C59F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F8" w:rsidRDefault="006C59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59F8" w:rsidRDefault="006C59F8" w:rsidP="006C59F8">
      <w:r>
        <w:separator/>
      </w:r>
    </w:p>
  </w:footnote>
  <w:footnote w:type="continuationSeparator" w:id="0">
    <w:p w:rsidR="006C59F8" w:rsidRDefault="006C59F8" w:rsidP="006C59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F8" w:rsidRDefault="006C59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F8" w:rsidRDefault="006C59F8" w:rsidP="006C59F8">
    <w:pPr>
      <w:pStyle w:val="Header"/>
      <w:jc w:val="right"/>
      <w:rPr>
        <w:rFonts w:ascii="Arial" w:hAnsi="Arial" w:cs="Arial"/>
        <w:sz w:val="22"/>
        <w:szCs w:val="22"/>
      </w:rPr>
    </w:pPr>
    <w:r>
      <w:rPr>
        <w:rFonts w:ascii="Arial" w:hAnsi="Arial" w:cs="Arial"/>
        <w:sz w:val="22"/>
        <w:szCs w:val="22"/>
      </w:rPr>
      <w:t>LTC10-P52b</w:t>
    </w:r>
  </w:p>
  <w:p w:rsidR="006C59F8" w:rsidRPr="00D14A64" w:rsidRDefault="006C59F8" w:rsidP="006C59F8">
    <w:pPr>
      <w:pStyle w:val="Header"/>
      <w:jc w:val="right"/>
      <w:rPr>
        <w:rFonts w:ascii="Arial" w:hAnsi="Arial" w:cs="Arial"/>
        <w:sz w:val="22"/>
        <w:szCs w:val="22"/>
      </w:rPr>
    </w:pPr>
    <w:r>
      <w:rPr>
        <w:rFonts w:ascii="Arial" w:hAnsi="Arial" w:cs="Arial"/>
        <w:sz w:val="22"/>
        <w:szCs w:val="22"/>
      </w:rPr>
      <w:t>4 November 2010</w:t>
    </w:r>
  </w:p>
  <w:p w:rsidR="006C59F8" w:rsidRDefault="006C59F8">
    <w:pPr>
      <w:pStyle w:val="Header"/>
    </w:pPr>
  </w:p>
  <w:p w:rsidR="006C59F8" w:rsidRDefault="006C59F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59F8" w:rsidRDefault="006C59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F79F1"/>
    <w:multiLevelType w:val="hybridMultilevel"/>
    <w:tmpl w:val="E8B4D2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A0A03F6"/>
    <w:multiLevelType w:val="hybridMultilevel"/>
    <w:tmpl w:val="47A88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93A19D1"/>
    <w:multiLevelType w:val="hybridMultilevel"/>
    <w:tmpl w:val="1C82268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76A8685F"/>
    <w:multiLevelType w:val="hybridMultilevel"/>
    <w:tmpl w:val="944498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6"/>
  <w:embedSystemFonts/>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D1C6E"/>
    <w:rsid w:val="00022481"/>
    <w:rsid w:val="0009078B"/>
    <w:rsid w:val="00131DDF"/>
    <w:rsid w:val="001632FA"/>
    <w:rsid w:val="001D1C6E"/>
    <w:rsid w:val="003A1326"/>
    <w:rsid w:val="003B41D1"/>
    <w:rsid w:val="003B6A2F"/>
    <w:rsid w:val="003C79BD"/>
    <w:rsid w:val="003E434F"/>
    <w:rsid w:val="0048196E"/>
    <w:rsid w:val="00485253"/>
    <w:rsid w:val="004D7D3F"/>
    <w:rsid w:val="004E7C1B"/>
    <w:rsid w:val="005C0850"/>
    <w:rsid w:val="0066305C"/>
    <w:rsid w:val="00691C6A"/>
    <w:rsid w:val="006C59F8"/>
    <w:rsid w:val="006D0EE9"/>
    <w:rsid w:val="006E35F3"/>
    <w:rsid w:val="0071065C"/>
    <w:rsid w:val="008176A7"/>
    <w:rsid w:val="00864DC9"/>
    <w:rsid w:val="008C434B"/>
    <w:rsid w:val="00902D3F"/>
    <w:rsid w:val="00916F44"/>
    <w:rsid w:val="00924A88"/>
    <w:rsid w:val="00975417"/>
    <w:rsid w:val="00A34DA4"/>
    <w:rsid w:val="00A779D6"/>
    <w:rsid w:val="00A86D43"/>
    <w:rsid w:val="00A87366"/>
    <w:rsid w:val="00AA307D"/>
    <w:rsid w:val="00B03B7A"/>
    <w:rsid w:val="00B40769"/>
    <w:rsid w:val="00B70BE8"/>
    <w:rsid w:val="00BB42E6"/>
    <w:rsid w:val="00C607B9"/>
    <w:rsid w:val="00CC1616"/>
    <w:rsid w:val="00CC7425"/>
    <w:rsid w:val="00E114F1"/>
    <w:rsid w:val="00E14664"/>
    <w:rsid w:val="00E16656"/>
    <w:rsid w:val="00E3061B"/>
    <w:rsid w:val="00EE072C"/>
    <w:rsid w:val="00F67447"/>
    <w:rsid w:val="00FD0FE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A1326"/>
    <w:rPr>
      <w:lang w:eastAsia="en-US"/>
    </w:rPr>
  </w:style>
  <w:style w:type="paragraph" w:styleId="Heading1">
    <w:name w:val="heading 1"/>
    <w:basedOn w:val="Normal"/>
    <w:next w:val="Normal"/>
    <w:qFormat/>
    <w:rsid w:val="003A1326"/>
    <w:pPr>
      <w:keepNext/>
      <w:jc w:val="center"/>
      <w:outlineLvl w:val="0"/>
    </w:pPr>
    <w:rPr>
      <w:b/>
      <w:sz w:val="24"/>
    </w:rPr>
  </w:style>
  <w:style w:type="paragraph" w:styleId="Heading2">
    <w:name w:val="heading 2"/>
    <w:basedOn w:val="Normal"/>
    <w:next w:val="Normal"/>
    <w:qFormat/>
    <w:rsid w:val="003A1326"/>
    <w:pPr>
      <w:keepNext/>
      <w:outlineLvl w:val="1"/>
    </w:pPr>
    <w:rPr>
      <w:b/>
      <w:i/>
      <w:sz w:val="24"/>
    </w:rPr>
  </w:style>
  <w:style w:type="paragraph" w:styleId="Heading3">
    <w:name w:val="heading 3"/>
    <w:basedOn w:val="Normal"/>
    <w:next w:val="Normal"/>
    <w:qFormat/>
    <w:rsid w:val="003A1326"/>
    <w:pPr>
      <w:keepNext/>
      <w:ind w:left="360"/>
      <w:outlineLvl w:val="2"/>
    </w:pPr>
    <w:rPr>
      <w:sz w:val="36"/>
      <w:lang w:val="en-US"/>
    </w:rPr>
  </w:style>
  <w:style w:type="paragraph" w:styleId="Heading4">
    <w:name w:val="heading 4"/>
    <w:basedOn w:val="Normal"/>
    <w:next w:val="Normal"/>
    <w:qFormat/>
    <w:rsid w:val="003A1326"/>
    <w:pPr>
      <w:keepNext/>
      <w:outlineLvl w:val="3"/>
    </w:pPr>
    <w:rPr>
      <w:b/>
      <w:sz w:val="22"/>
    </w:rPr>
  </w:style>
  <w:style w:type="paragraph" w:styleId="Heading5">
    <w:name w:val="heading 5"/>
    <w:basedOn w:val="Normal"/>
    <w:next w:val="Normal"/>
    <w:qFormat/>
    <w:rsid w:val="003A1326"/>
    <w:pPr>
      <w:keepNext/>
      <w:outlineLvl w:val="4"/>
    </w:pPr>
    <w:rPr>
      <w:b/>
      <w:sz w:val="24"/>
    </w:rPr>
  </w:style>
  <w:style w:type="paragraph" w:styleId="Heading6">
    <w:name w:val="heading 6"/>
    <w:basedOn w:val="Normal"/>
    <w:next w:val="Normal"/>
    <w:qFormat/>
    <w:rsid w:val="003A1326"/>
    <w:pPr>
      <w:keepNext/>
      <w:outlineLvl w:val="5"/>
    </w:pPr>
    <w:rPr>
      <w:b/>
      <w:sz w:val="24"/>
    </w:rPr>
  </w:style>
  <w:style w:type="paragraph" w:styleId="Heading7">
    <w:name w:val="heading 7"/>
    <w:basedOn w:val="Normal"/>
    <w:next w:val="Normal"/>
    <w:qFormat/>
    <w:rsid w:val="003A1326"/>
    <w:pPr>
      <w:keepNext/>
      <w:tabs>
        <w:tab w:val="left" w:pos="720"/>
        <w:tab w:val="left" w:pos="1440"/>
        <w:tab w:val="left" w:pos="2160"/>
        <w:tab w:val="right" w:pos="9000"/>
      </w:tabs>
      <w:jc w:val="center"/>
      <w:outlineLvl w:val="6"/>
    </w:pPr>
    <w:rPr>
      <w:b/>
      <w:sz w:val="28"/>
    </w:rPr>
  </w:style>
  <w:style w:type="paragraph" w:styleId="Heading8">
    <w:name w:val="heading 8"/>
    <w:basedOn w:val="Normal"/>
    <w:next w:val="Normal"/>
    <w:qFormat/>
    <w:rsid w:val="003A1326"/>
    <w:pPr>
      <w:keepNext/>
      <w:tabs>
        <w:tab w:val="left" w:pos="720"/>
        <w:tab w:val="left" w:pos="1440"/>
        <w:tab w:val="left" w:pos="2160"/>
        <w:tab w:val="right" w:pos="9000"/>
      </w:tabs>
      <w:jc w:val="both"/>
      <w:outlineLvl w:val="7"/>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A1326"/>
    <w:rPr>
      <w:sz w:val="24"/>
    </w:rPr>
  </w:style>
  <w:style w:type="character" w:styleId="Hyperlink">
    <w:name w:val="Hyperlink"/>
    <w:basedOn w:val="DefaultParagraphFont"/>
    <w:rsid w:val="003A1326"/>
    <w:rPr>
      <w:color w:val="0000FF"/>
      <w:u w:val="single"/>
    </w:rPr>
  </w:style>
  <w:style w:type="paragraph" w:styleId="Title">
    <w:name w:val="Title"/>
    <w:basedOn w:val="Normal"/>
    <w:qFormat/>
    <w:rsid w:val="003A1326"/>
    <w:pPr>
      <w:jc w:val="center"/>
    </w:pPr>
    <w:rPr>
      <w:b/>
      <w:sz w:val="24"/>
      <w:lang w:val="en-US"/>
    </w:rPr>
  </w:style>
  <w:style w:type="paragraph" w:styleId="Subtitle">
    <w:name w:val="Subtitle"/>
    <w:basedOn w:val="Normal"/>
    <w:qFormat/>
    <w:rsid w:val="003A1326"/>
    <w:rPr>
      <w:b/>
      <w:sz w:val="24"/>
      <w:lang w:val="en-US"/>
    </w:rPr>
  </w:style>
  <w:style w:type="paragraph" w:styleId="NormalWeb">
    <w:name w:val="Normal (Web)"/>
    <w:basedOn w:val="Normal"/>
    <w:rsid w:val="001D1C6E"/>
    <w:pPr>
      <w:spacing w:before="100" w:beforeAutospacing="1" w:after="100" w:afterAutospacing="1"/>
    </w:pPr>
    <w:rPr>
      <w:rFonts w:ascii="Arial" w:hAnsi="Arial" w:cs="Arial"/>
      <w:sz w:val="24"/>
      <w:szCs w:val="24"/>
      <w:lang w:eastAsia="en-GB"/>
    </w:rPr>
  </w:style>
  <w:style w:type="character" w:styleId="Strong">
    <w:name w:val="Strong"/>
    <w:basedOn w:val="DefaultParagraphFont"/>
    <w:qFormat/>
    <w:rsid w:val="001D1C6E"/>
    <w:rPr>
      <w:b/>
      <w:bCs/>
    </w:rPr>
  </w:style>
  <w:style w:type="table" w:styleId="TableGrid">
    <w:name w:val="Table Grid"/>
    <w:basedOn w:val="TableNormal"/>
    <w:rsid w:val="00E14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6C59F8"/>
    <w:pPr>
      <w:tabs>
        <w:tab w:val="center" w:pos="4513"/>
        <w:tab w:val="right" w:pos="9026"/>
      </w:tabs>
    </w:pPr>
  </w:style>
  <w:style w:type="character" w:customStyle="1" w:styleId="HeaderChar">
    <w:name w:val="Header Char"/>
    <w:basedOn w:val="DefaultParagraphFont"/>
    <w:link w:val="Header"/>
    <w:rsid w:val="006C59F8"/>
    <w:rPr>
      <w:lang w:eastAsia="en-US"/>
    </w:rPr>
  </w:style>
  <w:style w:type="paragraph" w:styleId="Footer">
    <w:name w:val="footer"/>
    <w:basedOn w:val="Normal"/>
    <w:link w:val="FooterChar"/>
    <w:rsid w:val="006C59F8"/>
    <w:pPr>
      <w:tabs>
        <w:tab w:val="center" w:pos="4513"/>
        <w:tab w:val="right" w:pos="9026"/>
      </w:tabs>
    </w:pPr>
  </w:style>
  <w:style w:type="character" w:customStyle="1" w:styleId="FooterChar">
    <w:name w:val="Footer Char"/>
    <w:basedOn w:val="DefaultParagraphFont"/>
    <w:link w:val="Footer"/>
    <w:rsid w:val="006C59F8"/>
    <w:rPr>
      <w:lang w:eastAsia="en-US"/>
    </w:rPr>
  </w:style>
  <w:style w:type="paragraph" w:styleId="BalloonText">
    <w:name w:val="Balloon Text"/>
    <w:basedOn w:val="Normal"/>
    <w:link w:val="BalloonTextChar"/>
    <w:rsid w:val="006C59F8"/>
    <w:rPr>
      <w:rFonts w:ascii="Tahoma" w:hAnsi="Tahoma" w:cs="Tahoma"/>
      <w:sz w:val="16"/>
      <w:szCs w:val="16"/>
    </w:rPr>
  </w:style>
  <w:style w:type="character" w:customStyle="1" w:styleId="BalloonTextChar">
    <w:name w:val="Balloon Text Char"/>
    <w:basedOn w:val="DefaultParagraphFont"/>
    <w:link w:val="BalloonText"/>
    <w:rsid w:val="006C59F8"/>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534778841">
      <w:bodyDiv w:val="1"/>
      <w:marLeft w:val="0"/>
      <w:marRight w:val="0"/>
      <w:marTop w:val="0"/>
      <w:marBottom w:val="0"/>
      <w:divBdr>
        <w:top w:val="none" w:sz="0" w:space="0" w:color="auto"/>
        <w:left w:val="none" w:sz="0" w:space="0" w:color="auto"/>
        <w:bottom w:val="none" w:sz="0" w:space="0" w:color="auto"/>
        <w:right w:val="none" w:sz="0" w:space="0" w:color="auto"/>
      </w:divBdr>
    </w:div>
    <w:div w:id="623117199">
      <w:bodyDiv w:val="1"/>
      <w:marLeft w:val="0"/>
      <w:marRight w:val="0"/>
      <w:marTop w:val="0"/>
      <w:marBottom w:val="0"/>
      <w:divBdr>
        <w:top w:val="none" w:sz="0" w:space="0" w:color="auto"/>
        <w:left w:val="none" w:sz="0" w:space="0" w:color="auto"/>
        <w:bottom w:val="none" w:sz="0" w:space="0" w:color="auto"/>
        <w:right w:val="none" w:sz="0" w:space="0" w:color="auto"/>
      </w:divBdr>
    </w:div>
    <w:div w:id="630600054">
      <w:bodyDiv w:val="1"/>
      <w:marLeft w:val="0"/>
      <w:marRight w:val="0"/>
      <w:marTop w:val="0"/>
      <w:marBottom w:val="0"/>
      <w:divBdr>
        <w:top w:val="none" w:sz="0" w:space="0" w:color="auto"/>
        <w:left w:val="none" w:sz="0" w:space="0" w:color="auto"/>
        <w:bottom w:val="none" w:sz="0" w:space="0" w:color="auto"/>
        <w:right w:val="none" w:sz="0" w:space="0" w:color="auto"/>
      </w:divBdr>
    </w:div>
    <w:div w:id="935790466">
      <w:bodyDiv w:val="1"/>
      <w:marLeft w:val="0"/>
      <w:marRight w:val="0"/>
      <w:marTop w:val="0"/>
      <w:marBottom w:val="0"/>
      <w:divBdr>
        <w:top w:val="none" w:sz="0" w:space="0" w:color="auto"/>
        <w:left w:val="none" w:sz="0" w:space="0" w:color="auto"/>
        <w:bottom w:val="none" w:sz="0" w:space="0" w:color="auto"/>
        <w:right w:val="none" w:sz="0" w:space="0" w:color="auto"/>
      </w:divBdr>
    </w:div>
    <w:div w:id="977999556">
      <w:bodyDiv w:val="1"/>
      <w:marLeft w:val="0"/>
      <w:marRight w:val="0"/>
      <w:marTop w:val="0"/>
      <w:marBottom w:val="0"/>
      <w:divBdr>
        <w:top w:val="none" w:sz="0" w:space="0" w:color="auto"/>
        <w:left w:val="none" w:sz="0" w:space="0" w:color="auto"/>
        <w:bottom w:val="none" w:sz="0" w:space="0" w:color="auto"/>
        <w:right w:val="none" w:sz="0" w:space="0" w:color="auto"/>
      </w:divBdr>
    </w:div>
    <w:div w:id="1645163324">
      <w:bodyDiv w:val="1"/>
      <w:marLeft w:val="0"/>
      <w:marRight w:val="0"/>
      <w:marTop w:val="0"/>
      <w:marBottom w:val="0"/>
      <w:divBdr>
        <w:top w:val="none" w:sz="0" w:space="0" w:color="auto"/>
        <w:left w:val="none" w:sz="0" w:space="0" w:color="auto"/>
        <w:bottom w:val="none" w:sz="0" w:space="0" w:color="auto"/>
        <w:right w:val="none" w:sz="0" w:space="0" w:color="auto"/>
      </w:divBdr>
    </w:div>
    <w:div w:id="1728799168">
      <w:bodyDiv w:val="1"/>
      <w:marLeft w:val="0"/>
      <w:marRight w:val="0"/>
      <w:marTop w:val="0"/>
      <w:marBottom w:val="0"/>
      <w:divBdr>
        <w:top w:val="none" w:sz="0" w:space="0" w:color="auto"/>
        <w:left w:val="none" w:sz="0" w:space="0" w:color="auto"/>
        <w:bottom w:val="none" w:sz="0" w:space="0" w:color="auto"/>
        <w:right w:val="none" w:sz="0" w:space="0" w:color="auto"/>
      </w:divBdr>
    </w:div>
    <w:div w:id="19831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00EF3-423E-4C5A-8B31-4DFF61CE0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1332</Words>
  <Characters>7596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lpstr>
    </vt:vector>
  </TitlesOfParts>
  <Company>Loughborough University</Company>
  <LinksUpToDate>false</LinksUpToDate>
  <CharactersWithSpaces>8911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DILS</dc:creator>
  <cp:keywords/>
  <cp:lastModifiedBy>Administrator</cp:lastModifiedBy>
  <cp:revision>3</cp:revision>
  <cp:lastPrinted>2010-10-29T08:40:00Z</cp:lastPrinted>
  <dcterms:created xsi:type="dcterms:W3CDTF">2010-10-29T09:04:00Z</dcterms:created>
  <dcterms:modified xsi:type="dcterms:W3CDTF">2010-11-01T15:01:00Z</dcterms:modified>
</cp:coreProperties>
</file>