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1C" w:rsidRDefault="009A1B1C" w:rsidP="009A1B1C">
      <w:pPr>
        <w:pStyle w:val="Heading1"/>
        <w:tabs>
          <w:tab w:val="left" w:pos="5940"/>
        </w:tabs>
        <w:ind w:left="5040" w:firstLine="720"/>
      </w:pPr>
      <w:bookmarkStart w:id="0" w:name="_GoBack"/>
      <w:bookmarkEnd w:id="0"/>
    </w:p>
    <w:p w:rsidR="009A1B1C" w:rsidRDefault="009A1B1C" w:rsidP="009A1B1C">
      <w:pPr>
        <w:pStyle w:val="Heading1"/>
        <w:tabs>
          <w:tab w:val="left" w:pos="5940"/>
        </w:tabs>
        <w:ind w:left="5040" w:firstLine="720"/>
      </w:pPr>
    </w:p>
    <w:tbl>
      <w:tblPr>
        <w:tblW w:w="0" w:type="auto"/>
        <w:tblLayout w:type="fixed"/>
        <w:tblCellMar>
          <w:left w:w="80" w:type="dxa"/>
          <w:right w:w="80" w:type="dxa"/>
        </w:tblCellMar>
        <w:tblLook w:val="0000" w:firstRow="0" w:lastRow="0" w:firstColumn="0" w:lastColumn="0" w:noHBand="0" w:noVBand="0"/>
      </w:tblPr>
      <w:tblGrid>
        <w:gridCol w:w="5467"/>
        <w:gridCol w:w="3742"/>
      </w:tblGrid>
      <w:tr w:rsidR="009A1B1C">
        <w:tblPrEx>
          <w:tblCellMar>
            <w:top w:w="0" w:type="dxa"/>
            <w:bottom w:w="0" w:type="dxa"/>
          </w:tblCellMar>
        </w:tblPrEx>
        <w:trPr>
          <w:cantSplit/>
          <w:trHeight w:val="1116"/>
        </w:trPr>
        <w:tc>
          <w:tcPr>
            <w:tcW w:w="5467" w:type="dxa"/>
          </w:tcPr>
          <w:p w:rsidR="009A1B1C" w:rsidRPr="004F7C1E" w:rsidRDefault="009A1B1C" w:rsidP="009A1B1C"/>
        </w:tc>
        <w:tc>
          <w:tcPr>
            <w:tcW w:w="3742" w:type="dxa"/>
          </w:tcPr>
          <w:p w:rsidR="009A1B1C" w:rsidRDefault="00392428" w:rsidP="009A1B1C">
            <w:pPr>
              <w:spacing w:after="1100"/>
              <w:ind w:right="497"/>
            </w:pPr>
            <w:r>
              <w:rPr>
                <w:noProof/>
                <w:lang w:eastAsia="zh-CN"/>
              </w:rPr>
              <w:drawing>
                <wp:inline distT="0" distB="0" distL="0" distR="0">
                  <wp:extent cx="2162175" cy="504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inline>
              </w:drawing>
            </w:r>
          </w:p>
        </w:tc>
      </w:tr>
    </w:tbl>
    <w:p w:rsidR="009A1B1C" w:rsidRPr="00987A52" w:rsidRDefault="009A1B1C" w:rsidP="009A1B1C">
      <w:pPr>
        <w:pStyle w:val="Heading1"/>
        <w:spacing w:after="120"/>
        <w:ind w:right="641"/>
        <w:rPr>
          <w:rFonts w:ascii="Arial" w:hAnsi="Arial" w:cs="Arial"/>
          <w:sz w:val="36"/>
          <w:szCs w:val="36"/>
        </w:rPr>
      </w:pPr>
      <w:r w:rsidRPr="00987A52">
        <w:rPr>
          <w:rFonts w:ascii="Arial" w:hAnsi="Arial" w:cs="Arial"/>
          <w:sz w:val="36"/>
          <w:szCs w:val="36"/>
        </w:rPr>
        <w:t>Senate</w:t>
      </w:r>
    </w:p>
    <w:p w:rsidR="009A1B1C" w:rsidRPr="00F803A8" w:rsidRDefault="009A1B1C" w:rsidP="009A1B1C">
      <w:pPr>
        <w:pStyle w:val="Heading1"/>
        <w:ind w:left="993" w:hanging="993"/>
        <w:rPr>
          <w:rFonts w:ascii="Arial" w:hAnsi="Arial" w:cs="Arial"/>
          <w:b w:val="0"/>
          <w:sz w:val="22"/>
          <w:szCs w:val="22"/>
        </w:rPr>
      </w:pPr>
      <w:r w:rsidRPr="00F803A8">
        <w:rPr>
          <w:rFonts w:ascii="Arial" w:hAnsi="Arial" w:cs="Arial"/>
          <w:sz w:val="22"/>
          <w:szCs w:val="22"/>
        </w:rPr>
        <w:t>Subject:</w:t>
      </w:r>
      <w:r w:rsidRPr="00F803A8">
        <w:rPr>
          <w:rFonts w:ascii="Arial" w:hAnsi="Arial" w:cs="Arial"/>
          <w:sz w:val="22"/>
          <w:szCs w:val="22"/>
        </w:rPr>
        <w:tab/>
      </w:r>
      <w:r>
        <w:rPr>
          <w:rFonts w:ascii="Arial" w:hAnsi="Arial" w:cs="Arial"/>
          <w:sz w:val="22"/>
          <w:szCs w:val="22"/>
        </w:rPr>
        <w:t>Undergraduate and Taught Postgraduate Recruitment 2011 Entry</w:t>
      </w:r>
    </w:p>
    <w:p w:rsidR="009A1B1C" w:rsidRPr="00F803A8" w:rsidRDefault="009A1B1C" w:rsidP="009A1B1C">
      <w:pPr>
        <w:rPr>
          <w:sz w:val="22"/>
          <w:szCs w:val="22"/>
        </w:rPr>
      </w:pPr>
    </w:p>
    <w:p w:rsidR="009A1B1C" w:rsidRPr="00F803A8" w:rsidRDefault="009A1B1C" w:rsidP="009A1B1C">
      <w:pPr>
        <w:ind w:left="1000" w:hanging="1000"/>
        <w:rPr>
          <w:b/>
          <w:sz w:val="22"/>
          <w:szCs w:val="22"/>
        </w:rPr>
      </w:pPr>
      <w:r>
        <w:rPr>
          <w:b/>
          <w:sz w:val="22"/>
          <w:szCs w:val="22"/>
        </w:rPr>
        <w:t>Origin:</w:t>
      </w:r>
      <w:r>
        <w:rPr>
          <w:b/>
          <w:sz w:val="22"/>
          <w:szCs w:val="22"/>
        </w:rPr>
        <w:tab/>
        <w:t>Morag Bell, Pro Vice-Chancellor (Teaching) and Rachel Atkin, Director Student Recruitment and Admissions</w:t>
      </w:r>
    </w:p>
    <w:p w:rsidR="009A1B1C" w:rsidRDefault="009A1B1C" w:rsidP="009A1B1C">
      <w:pPr>
        <w:pBdr>
          <w:bottom w:val="single" w:sz="12" w:space="1" w:color="auto"/>
        </w:pBdr>
        <w:rPr>
          <w:b/>
          <w:sz w:val="22"/>
          <w:szCs w:val="22"/>
        </w:rPr>
      </w:pPr>
    </w:p>
    <w:p w:rsidR="009A1B1C" w:rsidRPr="0086008B" w:rsidRDefault="009A1B1C" w:rsidP="009A1B1C">
      <w:pPr>
        <w:rPr>
          <w:sz w:val="22"/>
          <w:szCs w:val="22"/>
        </w:rPr>
      </w:pPr>
      <w:r>
        <w:rPr>
          <w:b/>
          <w:sz w:val="22"/>
          <w:szCs w:val="22"/>
        </w:rPr>
        <w:t xml:space="preserve">Executive </w:t>
      </w:r>
      <w:r w:rsidRPr="00F803A8">
        <w:rPr>
          <w:b/>
          <w:sz w:val="22"/>
          <w:szCs w:val="22"/>
        </w:rPr>
        <w:t>Summary</w:t>
      </w:r>
      <w:r>
        <w:rPr>
          <w:b/>
          <w:sz w:val="22"/>
          <w:szCs w:val="22"/>
        </w:rPr>
        <w:t xml:space="preserve">:  </w:t>
      </w:r>
      <w:r w:rsidRPr="0086008B">
        <w:rPr>
          <w:sz w:val="22"/>
          <w:szCs w:val="22"/>
        </w:rPr>
        <w:t>UK/EU undergraduate conversions are similar to those at this time in 2010.  They are down slightly for UG international applicants, due in part to the UKBA visa changes in April.  Postgraduate applications remain buoyant.  It is anticipated that the University will meet the agreed intake targets</w:t>
      </w:r>
      <w:r>
        <w:rPr>
          <w:sz w:val="22"/>
          <w:szCs w:val="22"/>
        </w:rPr>
        <w:t xml:space="preserve"> for UK/EU undergraduates and all postgraduate students, and that we will be very close to if not on the international UG target.</w:t>
      </w:r>
    </w:p>
    <w:p w:rsidR="009A1B1C" w:rsidRPr="00F803A8" w:rsidRDefault="009A1B1C" w:rsidP="009A1B1C">
      <w:pPr>
        <w:rPr>
          <w:b/>
          <w:sz w:val="22"/>
          <w:szCs w:val="22"/>
        </w:rPr>
      </w:pPr>
    </w:p>
    <w:p w:rsidR="009A1B1C" w:rsidRPr="006072A4" w:rsidRDefault="009A1B1C" w:rsidP="009A1B1C">
      <w:pPr>
        <w:rPr>
          <w:sz w:val="22"/>
          <w:szCs w:val="22"/>
        </w:rPr>
      </w:pPr>
      <w:r w:rsidRPr="00E24479">
        <w:rPr>
          <w:b/>
          <w:sz w:val="22"/>
          <w:szCs w:val="22"/>
        </w:rPr>
        <w:t>Actions Required</w:t>
      </w:r>
      <w:r>
        <w:rPr>
          <w:sz w:val="22"/>
          <w:szCs w:val="22"/>
        </w:rPr>
        <w:t xml:space="preserve">: Senate is asked to receive this report and to note the contents. </w:t>
      </w:r>
    </w:p>
    <w:p w:rsidR="009A1B1C" w:rsidRDefault="009A1B1C" w:rsidP="009A1B1C">
      <w:pPr>
        <w:tabs>
          <w:tab w:val="left" w:pos="1170"/>
          <w:tab w:val="left" w:pos="8910"/>
        </w:tabs>
        <w:rPr>
          <w:b/>
          <w:u w:val="single"/>
        </w:rPr>
      </w:pPr>
      <w:r w:rsidRPr="00AB11C6">
        <w:rPr>
          <w:sz w:val="22"/>
          <w:szCs w:val="22"/>
        </w:rPr>
        <w:t> </w:t>
      </w:r>
      <w:r w:rsidRPr="00AB11C6">
        <w:rPr>
          <w:b/>
          <w:u w:val="single"/>
        </w:rPr>
        <w:tab/>
      </w:r>
      <w:r w:rsidRPr="00AB11C6">
        <w:rPr>
          <w:b/>
          <w:u w:val="single"/>
        </w:rPr>
        <w:tab/>
      </w:r>
    </w:p>
    <w:p w:rsidR="009A1B1C" w:rsidRDefault="009A1B1C" w:rsidP="009A1B1C">
      <w:pPr>
        <w:autoSpaceDE w:val="0"/>
        <w:autoSpaceDN w:val="0"/>
        <w:adjustRightInd w:val="0"/>
        <w:rPr>
          <w:b/>
          <w:sz w:val="22"/>
          <w:szCs w:val="22"/>
        </w:rPr>
      </w:pPr>
    </w:p>
    <w:p w:rsidR="009A1B1C" w:rsidRPr="003971ED" w:rsidRDefault="009A1B1C" w:rsidP="009A1B1C">
      <w:pPr>
        <w:autoSpaceDE w:val="0"/>
        <w:autoSpaceDN w:val="0"/>
        <w:adjustRightInd w:val="0"/>
        <w:rPr>
          <w:b/>
          <w:sz w:val="22"/>
          <w:szCs w:val="22"/>
        </w:rPr>
      </w:pPr>
      <w:r w:rsidRPr="003971ED">
        <w:rPr>
          <w:b/>
          <w:sz w:val="22"/>
          <w:szCs w:val="22"/>
        </w:rPr>
        <w:t>Background:</w:t>
      </w:r>
    </w:p>
    <w:p w:rsidR="009A1B1C" w:rsidRDefault="009A1B1C" w:rsidP="009A1B1C">
      <w:pPr>
        <w:rPr>
          <w:sz w:val="22"/>
        </w:rPr>
      </w:pPr>
      <w:r w:rsidRPr="00F973DB">
        <w:rPr>
          <w:sz w:val="22"/>
        </w:rPr>
        <w:t xml:space="preserve">Key data </w:t>
      </w:r>
      <w:r>
        <w:rPr>
          <w:sz w:val="22"/>
        </w:rPr>
        <w:t>shown below from June compares the position for 2011 entry with that for 2010 entry</w:t>
      </w:r>
      <w:r w:rsidRPr="00F973DB">
        <w:rPr>
          <w:sz w:val="22"/>
        </w:rPr>
        <w:t>:</w:t>
      </w:r>
    </w:p>
    <w:p w:rsidR="009A1B1C" w:rsidRPr="00F973DB" w:rsidRDefault="009A1B1C" w:rsidP="009A1B1C">
      <w:pPr>
        <w:rPr>
          <w:sz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8"/>
        <w:gridCol w:w="1134"/>
        <w:gridCol w:w="1134"/>
        <w:gridCol w:w="2410"/>
      </w:tblGrid>
      <w:tr w:rsidR="009A1B1C" w:rsidRPr="00265B19">
        <w:tc>
          <w:tcPr>
            <w:tcW w:w="1798" w:type="dxa"/>
          </w:tcPr>
          <w:p w:rsidR="009A1B1C" w:rsidRPr="00265B19" w:rsidRDefault="009A1B1C" w:rsidP="009A1B1C">
            <w:pPr>
              <w:tabs>
                <w:tab w:val="center" w:pos="4153"/>
                <w:tab w:val="right" w:pos="8306"/>
              </w:tabs>
              <w:jc w:val="center"/>
              <w:rPr>
                <w:b/>
                <w:bCs/>
                <w:sz w:val="22"/>
              </w:rPr>
            </w:pPr>
          </w:p>
        </w:tc>
        <w:tc>
          <w:tcPr>
            <w:tcW w:w="1134" w:type="dxa"/>
          </w:tcPr>
          <w:p w:rsidR="009A1B1C" w:rsidRPr="00265B19" w:rsidRDefault="009A1B1C" w:rsidP="009A1B1C">
            <w:pPr>
              <w:tabs>
                <w:tab w:val="center" w:pos="4153"/>
                <w:tab w:val="right" w:pos="8306"/>
              </w:tabs>
              <w:jc w:val="center"/>
              <w:rPr>
                <w:b/>
                <w:bCs/>
                <w:sz w:val="22"/>
              </w:rPr>
            </w:pPr>
            <w:r w:rsidRPr="00265B19">
              <w:rPr>
                <w:b/>
                <w:bCs/>
                <w:sz w:val="22"/>
              </w:rPr>
              <w:t>2010</w:t>
            </w:r>
          </w:p>
        </w:tc>
        <w:tc>
          <w:tcPr>
            <w:tcW w:w="1134" w:type="dxa"/>
          </w:tcPr>
          <w:p w:rsidR="009A1B1C" w:rsidRPr="00265B19" w:rsidRDefault="009A1B1C" w:rsidP="009A1B1C">
            <w:pPr>
              <w:tabs>
                <w:tab w:val="center" w:pos="4153"/>
                <w:tab w:val="right" w:pos="8306"/>
              </w:tabs>
              <w:jc w:val="center"/>
              <w:rPr>
                <w:b/>
                <w:bCs/>
                <w:sz w:val="22"/>
              </w:rPr>
            </w:pPr>
            <w:r w:rsidRPr="00265B19">
              <w:rPr>
                <w:b/>
                <w:bCs/>
                <w:sz w:val="22"/>
              </w:rPr>
              <w:t>2011</w:t>
            </w:r>
          </w:p>
        </w:tc>
        <w:tc>
          <w:tcPr>
            <w:tcW w:w="2410" w:type="dxa"/>
          </w:tcPr>
          <w:p w:rsidR="009A1B1C" w:rsidRPr="00265B19" w:rsidRDefault="009A1B1C" w:rsidP="009A1B1C">
            <w:pPr>
              <w:tabs>
                <w:tab w:val="center" w:pos="4153"/>
                <w:tab w:val="right" w:pos="8306"/>
              </w:tabs>
              <w:jc w:val="center"/>
              <w:rPr>
                <w:b/>
                <w:bCs/>
                <w:sz w:val="22"/>
              </w:rPr>
            </w:pPr>
            <w:r w:rsidRPr="00265B19">
              <w:rPr>
                <w:b/>
                <w:bCs/>
                <w:sz w:val="22"/>
              </w:rPr>
              <w:t>% change</w:t>
            </w:r>
          </w:p>
          <w:p w:rsidR="009A1B1C" w:rsidRPr="00265B19" w:rsidRDefault="009A1B1C" w:rsidP="009A1B1C">
            <w:pPr>
              <w:tabs>
                <w:tab w:val="center" w:pos="4153"/>
                <w:tab w:val="right" w:pos="8306"/>
              </w:tabs>
              <w:jc w:val="center"/>
              <w:rPr>
                <w:b/>
                <w:bCs/>
                <w:sz w:val="22"/>
              </w:rPr>
            </w:pPr>
            <w:r w:rsidRPr="00265B19">
              <w:rPr>
                <w:b/>
                <w:bCs/>
                <w:sz w:val="22"/>
              </w:rPr>
              <w:t>2010 to 2011</w:t>
            </w:r>
          </w:p>
        </w:tc>
      </w:tr>
      <w:tr w:rsidR="009A1B1C" w:rsidRPr="00F973DB">
        <w:tc>
          <w:tcPr>
            <w:tcW w:w="1798" w:type="dxa"/>
          </w:tcPr>
          <w:p w:rsidR="009A1B1C" w:rsidRPr="00F973DB" w:rsidRDefault="009A1B1C" w:rsidP="009A1B1C">
            <w:pPr>
              <w:tabs>
                <w:tab w:val="center" w:pos="4153"/>
                <w:tab w:val="right" w:pos="8306"/>
              </w:tabs>
              <w:jc w:val="center"/>
              <w:rPr>
                <w:b/>
                <w:sz w:val="22"/>
              </w:rPr>
            </w:pPr>
            <w:r w:rsidRPr="00F973DB">
              <w:rPr>
                <w:b/>
                <w:sz w:val="22"/>
              </w:rPr>
              <w:t>UK/EU</w:t>
            </w:r>
          </w:p>
        </w:tc>
        <w:tc>
          <w:tcPr>
            <w:tcW w:w="1134" w:type="dxa"/>
          </w:tcPr>
          <w:p w:rsidR="009A1B1C" w:rsidRPr="00F973DB" w:rsidRDefault="009A1B1C" w:rsidP="009A1B1C">
            <w:pPr>
              <w:tabs>
                <w:tab w:val="center" w:pos="4153"/>
                <w:tab w:val="right" w:pos="8306"/>
              </w:tabs>
              <w:jc w:val="center"/>
              <w:rPr>
                <w:sz w:val="22"/>
              </w:rPr>
            </w:pPr>
          </w:p>
        </w:tc>
        <w:tc>
          <w:tcPr>
            <w:tcW w:w="1134" w:type="dxa"/>
          </w:tcPr>
          <w:p w:rsidR="009A1B1C" w:rsidRPr="00F973DB" w:rsidRDefault="009A1B1C" w:rsidP="009A1B1C">
            <w:pPr>
              <w:tabs>
                <w:tab w:val="center" w:pos="4153"/>
                <w:tab w:val="right" w:pos="8306"/>
              </w:tabs>
              <w:jc w:val="center"/>
              <w:rPr>
                <w:sz w:val="22"/>
              </w:rPr>
            </w:pPr>
          </w:p>
        </w:tc>
        <w:tc>
          <w:tcPr>
            <w:tcW w:w="2410" w:type="dxa"/>
          </w:tcPr>
          <w:p w:rsidR="009A1B1C" w:rsidRPr="00F973DB" w:rsidRDefault="009A1B1C" w:rsidP="009A1B1C">
            <w:pPr>
              <w:tabs>
                <w:tab w:val="center" w:pos="4153"/>
                <w:tab w:val="right" w:pos="8306"/>
              </w:tabs>
              <w:jc w:val="center"/>
              <w:rPr>
                <w:sz w:val="22"/>
              </w:rPr>
            </w:pPr>
          </w:p>
        </w:tc>
      </w:tr>
      <w:tr w:rsidR="009A1B1C" w:rsidRPr="00F973DB">
        <w:tc>
          <w:tcPr>
            <w:tcW w:w="1798" w:type="dxa"/>
          </w:tcPr>
          <w:p w:rsidR="009A1B1C" w:rsidRPr="00265B19" w:rsidRDefault="009A1B1C" w:rsidP="009A1B1C">
            <w:pPr>
              <w:tabs>
                <w:tab w:val="center" w:pos="4153"/>
                <w:tab w:val="right" w:pos="8306"/>
              </w:tabs>
              <w:jc w:val="center"/>
              <w:rPr>
                <w:b/>
                <w:bCs/>
                <w:sz w:val="22"/>
              </w:rPr>
            </w:pPr>
            <w:r w:rsidRPr="00265B19">
              <w:rPr>
                <w:b/>
                <w:bCs/>
                <w:sz w:val="22"/>
              </w:rPr>
              <w:t>CF</w:t>
            </w:r>
          </w:p>
        </w:tc>
        <w:tc>
          <w:tcPr>
            <w:tcW w:w="1134" w:type="dxa"/>
          </w:tcPr>
          <w:p w:rsidR="009A1B1C" w:rsidRPr="00F973DB" w:rsidRDefault="009A1B1C" w:rsidP="009A1B1C">
            <w:pPr>
              <w:tabs>
                <w:tab w:val="center" w:pos="4153"/>
                <w:tab w:val="right" w:pos="8306"/>
              </w:tabs>
              <w:jc w:val="center"/>
              <w:rPr>
                <w:sz w:val="22"/>
              </w:rPr>
            </w:pPr>
            <w:r>
              <w:rPr>
                <w:sz w:val="22"/>
              </w:rPr>
              <w:t>3546</w:t>
            </w:r>
          </w:p>
        </w:tc>
        <w:tc>
          <w:tcPr>
            <w:tcW w:w="1134" w:type="dxa"/>
          </w:tcPr>
          <w:p w:rsidR="009A1B1C" w:rsidRPr="00F973DB" w:rsidRDefault="009A1B1C" w:rsidP="009A1B1C">
            <w:pPr>
              <w:tabs>
                <w:tab w:val="center" w:pos="4153"/>
                <w:tab w:val="right" w:pos="8306"/>
              </w:tabs>
              <w:jc w:val="center"/>
              <w:rPr>
                <w:sz w:val="22"/>
              </w:rPr>
            </w:pPr>
            <w:r>
              <w:rPr>
                <w:sz w:val="22"/>
              </w:rPr>
              <w:t>3657</w:t>
            </w:r>
          </w:p>
        </w:tc>
        <w:tc>
          <w:tcPr>
            <w:tcW w:w="2410" w:type="dxa"/>
          </w:tcPr>
          <w:p w:rsidR="009A1B1C" w:rsidRPr="00F973DB" w:rsidRDefault="009A1B1C" w:rsidP="009A1B1C">
            <w:pPr>
              <w:tabs>
                <w:tab w:val="center" w:pos="4153"/>
                <w:tab w:val="right" w:pos="8306"/>
              </w:tabs>
              <w:jc w:val="center"/>
              <w:rPr>
                <w:sz w:val="22"/>
              </w:rPr>
            </w:pPr>
            <w:r>
              <w:rPr>
                <w:sz w:val="22"/>
              </w:rPr>
              <w:t>+3%</w:t>
            </w:r>
          </w:p>
        </w:tc>
      </w:tr>
      <w:tr w:rsidR="009A1B1C" w:rsidRPr="00F973DB">
        <w:tc>
          <w:tcPr>
            <w:tcW w:w="1798" w:type="dxa"/>
          </w:tcPr>
          <w:p w:rsidR="009A1B1C" w:rsidRPr="00265B19" w:rsidRDefault="009A1B1C" w:rsidP="009A1B1C">
            <w:pPr>
              <w:tabs>
                <w:tab w:val="center" w:pos="4153"/>
                <w:tab w:val="right" w:pos="8306"/>
              </w:tabs>
              <w:jc w:val="center"/>
              <w:rPr>
                <w:b/>
                <w:bCs/>
                <w:sz w:val="22"/>
              </w:rPr>
            </w:pPr>
            <w:r w:rsidRPr="00265B19">
              <w:rPr>
                <w:b/>
                <w:bCs/>
                <w:sz w:val="22"/>
              </w:rPr>
              <w:t>CI</w:t>
            </w:r>
          </w:p>
        </w:tc>
        <w:tc>
          <w:tcPr>
            <w:tcW w:w="1134" w:type="dxa"/>
          </w:tcPr>
          <w:p w:rsidR="009A1B1C" w:rsidRPr="00F973DB" w:rsidRDefault="009A1B1C" w:rsidP="009A1B1C">
            <w:pPr>
              <w:tabs>
                <w:tab w:val="center" w:pos="4153"/>
                <w:tab w:val="right" w:pos="8306"/>
              </w:tabs>
              <w:jc w:val="center"/>
              <w:rPr>
                <w:sz w:val="22"/>
              </w:rPr>
            </w:pPr>
            <w:r>
              <w:rPr>
                <w:sz w:val="22"/>
              </w:rPr>
              <w:t>2339</w:t>
            </w:r>
          </w:p>
        </w:tc>
        <w:tc>
          <w:tcPr>
            <w:tcW w:w="1134" w:type="dxa"/>
          </w:tcPr>
          <w:p w:rsidR="009A1B1C" w:rsidRPr="00F973DB" w:rsidRDefault="009A1B1C" w:rsidP="009A1B1C">
            <w:pPr>
              <w:tabs>
                <w:tab w:val="center" w:pos="4153"/>
                <w:tab w:val="right" w:pos="8306"/>
              </w:tabs>
              <w:jc w:val="center"/>
              <w:rPr>
                <w:sz w:val="22"/>
              </w:rPr>
            </w:pPr>
            <w:r>
              <w:rPr>
                <w:sz w:val="22"/>
              </w:rPr>
              <w:t>2283</w:t>
            </w:r>
          </w:p>
        </w:tc>
        <w:tc>
          <w:tcPr>
            <w:tcW w:w="2410" w:type="dxa"/>
          </w:tcPr>
          <w:p w:rsidR="009A1B1C" w:rsidRPr="00F973DB" w:rsidRDefault="009A1B1C" w:rsidP="009A1B1C">
            <w:pPr>
              <w:tabs>
                <w:tab w:val="center" w:pos="4153"/>
                <w:tab w:val="right" w:pos="8306"/>
              </w:tabs>
              <w:jc w:val="center"/>
              <w:rPr>
                <w:sz w:val="22"/>
              </w:rPr>
            </w:pPr>
            <w:r>
              <w:rPr>
                <w:sz w:val="22"/>
              </w:rPr>
              <w:t>-2.5%</w:t>
            </w:r>
          </w:p>
        </w:tc>
      </w:tr>
      <w:tr w:rsidR="009A1B1C" w:rsidRPr="00F973DB">
        <w:tc>
          <w:tcPr>
            <w:tcW w:w="1798" w:type="dxa"/>
          </w:tcPr>
          <w:p w:rsidR="009A1B1C" w:rsidRPr="00265B19" w:rsidRDefault="009A1B1C" w:rsidP="009A1B1C">
            <w:pPr>
              <w:tabs>
                <w:tab w:val="center" w:pos="4153"/>
                <w:tab w:val="right" w:pos="8306"/>
              </w:tabs>
              <w:jc w:val="center"/>
              <w:rPr>
                <w:b/>
                <w:bCs/>
                <w:sz w:val="22"/>
              </w:rPr>
            </w:pPr>
            <w:r w:rsidRPr="00265B19">
              <w:rPr>
                <w:b/>
                <w:bCs/>
                <w:sz w:val="22"/>
              </w:rPr>
              <w:t>UF</w:t>
            </w:r>
          </w:p>
        </w:tc>
        <w:tc>
          <w:tcPr>
            <w:tcW w:w="1134" w:type="dxa"/>
          </w:tcPr>
          <w:p w:rsidR="009A1B1C" w:rsidRPr="00F973DB" w:rsidRDefault="009A1B1C" w:rsidP="009A1B1C">
            <w:pPr>
              <w:tabs>
                <w:tab w:val="center" w:pos="4153"/>
                <w:tab w:val="right" w:pos="8306"/>
              </w:tabs>
              <w:jc w:val="center"/>
              <w:rPr>
                <w:sz w:val="22"/>
              </w:rPr>
            </w:pPr>
            <w:r>
              <w:rPr>
                <w:sz w:val="22"/>
              </w:rPr>
              <w:t>741</w:t>
            </w:r>
          </w:p>
        </w:tc>
        <w:tc>
          <w:tcPr>
            <w:tcW w:w="1134" w:type="dxa"/>
          </w:tcPr>
          <w:p w:rsidR="009A1B1C" w:rsidRPr="00F973DB" w:rsidRDefault="009A1B1C" w:rsidP="009A1B1C">
            <w:pPr>
              <w:tabs>
                <w:tab w:val="center" w:pos="4153"/>
                <w:tab w:val="right" w:pos="8306"/>
              </w:tabs>
              <w:jc w:val="center"/>
              <w:rPr>
                <w:sz w:val="22"/>
              </w:rPr>
            </w:pPr>
            <w:r>
              <w:rPr>
                <w:sz w:val="22"/>
              </w:rPr>
              <w:t>562</w:t>
            </w:r>
          </w:p>
        </w:tc>
        <w:tc>
          <w:tcPr>
            <w:tcW w:w="2410" w:type="dxa"/>
          </w:tcPr>
          <w:p w:rsidR="009A1B1C" w:rsidRPr="00F973DB" w:rsidRDefault="009A1B1C" w:rsidP="009A1B1C">
            <w:pPr>
              <w:tabs>
                <w:tab w:val="center" w:pos="4153"/>
                <w:tab w:val="right" w:pos="8306"/>
              </w:tabs>
              <w:jc w:val="center"/>
              <w:rPr>
                <w:sz w:val="22"/>
              </w:rPr>
            </w:pPr>
            <w:r>
              <w:rPr>
                <w:sz w:val="22"/>
              </w:rPr>
              <w:t>-24%</w:t>
            </w:r>
          </w:p>
        </w:tc>
      </w:tr>
      <w:tr w:rsidR="009A1B1C" w:rsidRPr="00F973DB">
        <w:tc>
          <w:tcPr>
            <w:tcW w:w="1798" w:type="dxa"/>
          </w:tcPr>
          <w:p w:rsidR="009A1B1C" w:rsidRPr="00F973DB" w:rsidRDefault="009A1B1C" w:rsidP="009A1B1C">
            <w:pPr>
              <w:tabs>
                <w:tab w:val="center" w:pos="4153"/>
                <w:tab w:val="right" w:pos="8306"/>
              </w:tabs>
              <w:jc w:val="center"/>
              <w:rPr>
                <w:b/>
                <w:sz w:val="22"/>
              </w:rPr>
            </w:pPr>
            <w:r w:rsidRPr="00F973DB">
              <w:rPr>
                <w:b/>
                <w:sz w:val="22"/>
              </w:rPr>
              <w:t>International</w:t>
            </w:r>
          </w:p>
        </w:tc>
        <w:tc>
          <w:tcPr>
            <w:tcW w:w="1134" w:type="dxa"/>
          </w:tcPr>
          <w:p w:rsidR="009A1B1C" w:rsidRPr="00F973DB" w:rsidRDefault="009A1B1C" w:rsidP="009A1B1C">
            <w:pPr>
              <w:tabs>
                <w:tab w:val="center" w:pos="4153"/>
                <w:tab w:val="right" w:pos="8306"/>
              </w:tabs>
              <w:jc w:val="center"/>
              <w:rPr>
                <w:sz w:val="22"/>
              </w:rPr>
            </w:pPr>
          </w:p>
        </w:tc>
        <w:tc>
          <w:tcPr>
            <w:tcW w:w="1134" w:type="dxa"/>
          </w:tcPr>
          <w:p w:rsidR="009A1B1C" w:rsidRPr="00F973DB" w:rsidRDefault="009A1B1C" w:rsidP="009A1B1C">
            <w:pPr>
              <w:tabs>
                <w:tab w:val="center" w:pos="4153"/>
                <w:tab w:val="right" w:pos="8306"/>
              </w:tabs>
              <w:jc w:val="center"/>
              <w:rPr>
                <w:sz w:val="22"/>
              </w:rPr>
            </w:pPr>
          </w:p>
        </w:tc>
        <w:tc>
          <w:tcPr>
            <w:tcW w:w="2410" w:type="dxa"/>
          </w:tcPr>
          <w:p w:rsidR="009A1B1C" w:rsidRPr="00F973DB" w:rsidRDefault="009A1B1C" w:rsidP="009A1B1C">
            <w:pPr>
              <w:tabs>
                <w:tab w:val="center" w:pos="4153"/>
                <w:tab w:val="right" w:pos="8306"/>
              </w:tabs>
              <w:jc w:val="center"/>
              <w:rPr>
                <w:sz w:val="22"/>
              </w:rPr>
            </w:pPr>
          </w:p>
        </w:tc>
      </w:tr>
      <w:tr w:rsidR="009A1B1C" w:rsidRPr="00F973DB">
        <w:tc>
          <w:tcPr>
            <w:tcW w:w="1798" w:type="dxa"/>
          </w:tcPr>
          <w:p w:rsidR="009A1B1C" w:rsidRPr="00265B19" w:rsidRDefault="009A1B1C" w:rsidP="009A1B1C">
            <w:pPr>
              <w:tabs>
                <w:tab w:val="center" w:pos="4153"/>
                <w:tab w:val="right" w:pos="8306"/>
              </w:tabs>
              <w:jc w:val="center"/>
              <w:rPr>
                <w:b/>
                <w:bCs/>
                <w:sz w:val="22"/>
              </w:rPr>
            </w:pPr>
            <w:r w:rsidRPr="00265B19">
              <w:rPr>
                <w:b/>
                <w:bCs/>
                <w:sz w:val="22"/>
              </w:rPr>
              <w:t>CF</w:t>
            </w:r>
          </w:p>
        </w:tc>
        <w:tc>
          <w:tcPr>
            <w:tcW w:w="1134" w:type="dxa"/>
          </w:tcPr>
          <w:p w:rsidR="009A1B1C" w:rsidRPr="00F973DB" w:rsidRDefault="009A1B1C" w:rsidP="009A1B1C">
            <w:pPr>
              <w:tabs>
                <w:tab w:val="center" w:pos="4153"/>
                <w:tab w:val="right" w:pos="8306"/>
              </w:tabs>
              <w:jc w:val="center"/>
              <w:rPr>
                <w:sz w:val="22"/>
              </w:rPr>
            </w:pPr>
            <w:r>
              <w:rPr>
                <w:sz w:val="22"/>
              </w:rPr>
              <w:t>275</w:t>
            </w:r>
          </w:p>
        </w:tc>
        <w:tc>
          <w:tcPr>
            <w:tcW w:w="1134" w:type="dxa"/>
          </w:tcPr>
          <w:p w:rsidR="009A1B1C" w:rsidRPr="00F973DB" w:rsidRDefault="009A1B1C" w:rsidP="009A1B1C">
            <w:pPr>
              <w:tabs>
                <w:tab w:val="center" w:pos="4153"/>
                <w:tab w:val="right" w:pos="8306"/>
              </w:tabs>
              <w:jc w:val="center"/>
              <w:rPr>
                <w:sz w:val="22"/>
              </w:rPr>
            </w:pPr>
            <w:r>
              <w:rPr>
                <w:sz w:val="22"/>
              </w:rPr>
              <w:t>253</w:t>
            </w:r>
          </w:p>
        </w:tc>
        <w:tc>
          <w:tcPr>
            <w:tcW w:w="2410" w:type="dxa"/>
          </w:tcPr>
          <w:p w:rsidR="009A1B1C" w:rsidRPr="00F973DB" w:rsidRDefault="009A1B1C" w:rsidP="009A1B1C">
            <w:pPr>
              <w:tabs>
                <w:tab w:val="center" w:pos="4153"/>
                <w:tab w:val="right" w:pos="8306"/>
              </w:tabs>
              <w:jc w:val="center"/>
              <w:rPr>
                <w:sz w:val="22"/>
              </w:rPr>
            </w:pPr>
            <w:r>
              <w:rPr>
                <w:sz w:val="22"/>
              </w:rPr>
              <w:t>-8%</w:t>
            </w:r>
          </w:p>
        </w:tc>
      </w:tr>
      <w:tr w:rsidR="009A1B1C" w:rsidRPr="00F973DB">
        <w:tc>
          <w:tcPr>
            <w:tcW w:w="1798" w:type="dxa"/>
          </w:tcPr>
          <w:p w:rsidR="009A1B1C" w:rsidRPr="00265B19" w:rsidRDefault="009A1B1C" w:rsidP="009A1B1C">
            <w:pPr>
              <w:tabs>
                <w:tab w:val="center" w:pos="4153"/>
                <w:tab w:val="right" w:pos="8306"/>
              </w:tabs>
              <w:jc w:val="center"/>
              <w:rPr>
                <w:b/>
                <w:bCs/>
                <w:sz w:val="22"/>
              </w:rPr>
            </w:pPr>
            <w:r w:rsidRPr="00265B19">
              <w:rPr>
                <w:b/>
                <w:bCs/>
                <w:sz w:val="22"/>
              </w:rPr>
              <w:t>CI</w:t>
            </w:r>
          </w:p>
        </w:tc>
        <w:tc>
          <w:tcPr>
            <w:tcW w:w="1134" w:type="dxa"/>
          </w:tcPr>
          <w:p w:rsidR="009A1B1C" w:rsidRPr="00F973DB" w:rsidRDefault="009A1B1C" w:rsidP="009A1B1C">
            <w:pPr>
              <w:tabs>
                <w:tab w:val="center" w:pos="4153"/>
                <w:tab w:val="right" w:pos="8306"/>
              </w:tabs>
              <w:jc w:val="center"/>
              <w:rPr>
                <w:sz w:val="22"/>
              </w:rPr>
            </w:pPr>
            <w:r>
              <w:rPr>
                <w:sz w:val="22"/>
              </w:rPr>
              <w:t>319</w:t>
            </w:r>
          </w:p>
        </w:tc>
        <w:tc>
          <w:tcPr>
            <w:tcW w:w="1134" w:type="dxa"/>
          </w:tcPr>
          <w:p w:rsidR="009A1B1C" w:rsidRPr="00F973DB" w:rsidRDefault="009A1B1C" w:rsidP="009A1B1C">
            <w:pPr>
              <w:tabs>
                <w:tab w:val="center" w:pos="4153"/>
                <w:tab w:val="right" w:pos="8306"/>
              </w:tabs>
              <w:jc w:val="center"/>
              <w:rPr>
                <w:sz w:val="22"/>
              </w:rPr>
            </w:pPr>
            <w:r>
              <w:rPr>
                <w:sz w:val="22"/>
              </w:rPr>
              <w:t>274</w:t>
            </w:r>
          </w:p>
        </w:tc>
        <w:tc>
          <w:tcPr>
            <w:tcW w:w="2410" w:type="dxa"/>
          </w:tcPr>
          <w:p w:rsidR="009A1B1C" w:rsidRPr="00F973DB" w:rsidRDefault="009A1B1C" w:rsidP="009A1B1C">
            <w:pPr>
              <w:tabs>
                <w:tab w:val="center" w:pos="4153"/>
                <w:tab w:val="right" w:pos="8306"/>
              </w:tabs>
              <w:jc w:val="center"/>
              <w:rPr>
                <w:sz w:val="22"/>
              </w:rPr>
            </w:pPr>
            <w:r>
              <w:rPr>
                <w:sz w:val="22"/>
              </w:rPr>
              <w:t>-14%</w:t>
            </w:r>
          </w:p>
        </w:tc>
      </w:tr>
      <w:tr w:rsidR="009A1B1C" w:rsidRPr="00F973DB">
        <w:tc>
          <w:tcPr>
            <w:tcW w:w="1798" w:type="dxa"/>
          </w:tcPr>
          <w:p w:rsidR="009A1B1C" w:rsidRPr="00265B19" w:rsidRDefault="009A1B1C" w:rsidP="009A1B1C">
            <w:pPr>
              <w:tabs>
                <w:tab w:val="center" w:pos="4153"/>
                <w:tab w:val="right" w:pos="8306"/>
              </w:tabs>
              <w:jc w:val="center"/>
              <w:rPr>
                <w:b/>
                <w:bCs/>
                <w:sz w:val="22"/>
              </w:rPr>
            </w:pPr>
            <w:r w:rsidRPr="00265B19">
              <w:rPr>
                <w:b/>
                <w:bCs/>
                <w:sz w:val="22"/>
              </w:rPr>
              <w:t>UF</w:t>
            </w:r>
          </w:p>
        </w:tc>
        <w:tc>
          <w:tcPr>
            <w:tcW w:w="1134" w:type="dxa"/>
          </w:tcPr>
          <w:p w:rsidR="009A1B1C" w:rsidRPr="00F973DB" w:rsidRDefault="009A1B1C" w:rsidP="009A1B1C">
            <w:pPr>
              <w:tabs>
                <w:tab w:val="center" w:pos="4153"/>
                <w:tab w:val="right" w:pos="8306"/>
              </w:tabs>
              <w:jc w:val="center"/>
              <w:rPr>
                <w:sz w:val="22"/>
              </w:rPr>
            </w:pPr>
            <w:r>
              <w:rPr>
                <w:sz w:val="22"/>
              </w:rPr>
              <w:t>73</w:t>
            </w:r>
          </w:p>
        </w:tc>
        <w:tc>
          <w:tcPr>
            <w:tcW w:w="1134" w:type="dxa"/>
          </w:tcPr>
          <w:p w:rsidR="009A1B1C" w:rsidRPr="00F973DB" w:rsidRDefault="009A1B1C" w:rsidP="009A1B1C">
            <w:pPr>
              <w:tabs>
                <w:tab w:val="center" w:pos="4153"/>
                <w:tab w:val="right" w:pos="8306"/>
              </w:tabs>
              <w:jc w:val="center"/>
              <w:rPr>
                <w:sz w:val="22"/>
              </w:rPr>
            </w:pPr>
            <w:r>
              <w:rPr>
                <w:sz w:val="22"/>
              </w:rPr>
              <w:t>63</w:t>
            </w:r>
          </w:p>
        </w:tc>
        <w:tc>
          <w:tcPr>
            <w:tcW w:w="2410" w:type="dxa"/>
          </w:tcPr>
          <w:p w:rsidR="009A1B1C" w:rsidRPr="00F973DB" w:rsidRDefault="009A1B1C" w:rsidP="009A1B1C">
            <w:pPr>
              <w:tabs>
                <w:tab w:val="center" w:pos="4153"/>
                <w:tab w:val="right" w:pos="8306"/>
              </w:tabs>
              <w:jc w:val="center"/>
              <w:rPr>
                <w:sz w:val="22"/>
              </w:rPr>
            </w:pPr>
            <w:r>
              <w:rPr>
                <w:sz w:val="22"/>
              </w:rPr>
              <w:t>-13.5%</w:t>
            </w:r>
          </w:p>
        </w:tc>
      </w:tr>
    </w:tbl>
    <w:p w:rsidR="009A1B1C" w:rsidRPr="00F973DB" w:rsidRDefault="009A1B1C" w:rsidP="009A1B1C">
      <w:pPr>
        <w:ind w:left="720"/>
        <w:rPr>
          <w:sz w:val="22"/>
        </w:rPr>
      </w:pPr>
    </w:p>
    <w:p w:rsidR="009A1B1C" w:rsidRPr="00F973DB" w:rsidRDefault="009A1B1C" w:rsidP="009A1B1C">
      <w:pPr>
        <w:rPr>
          <w:b/>
          <w:sz w:val="22"/>
        </w:rPr>
      </w:pPr>
      <w:r w:rsidRPr="00F973DB">
        <w:rPr>
          <w:b/>
          <w:sz w:val="22"/>
        </w:rPr>
        <w:t>UK/EU</w:t>
      </w:r>
    </w:p>
    <w:p w:rsidR="009A1B1C" w:rsidRDefault="009A1B1C" w:rsidP="009A1B1C">
      <w:pPr>
        <w:rPr>
          <w:sz w:val="22"/>
        </w:rPr>
      </w:pPr>
      <w:r>
        <w:rPr>
          <w:sz w:val="22"/>
        </w:rPr>
        <w:t>The above table indicates that CF totals for 2011 are higher than those for 2010. CI totals are slightly lower although there are variations between programmes.  The number of students already holding unconditional firm offers for 2011 entry is lower than for 2010 but this should be balanced by the increased number of conditional firm offer holders for 2011 entry.</w:t>
      </w:r>
    </w:p>
    <w:p w:rsidR="009A1B1C" w:rsidRDefault="009A1B1C" w:rsidP="009A1B1C">
      <w:pPr>
        <w:rPr>
          <w:sz w:val="22"/>
        </w:rPr>
      </w:pPr>
    </w:p>
    <w:p w:rsidR="009A1B1C" w:rsidRDefault="009A1B1C" w:rsidP="009A1B1C">
      <w:pPr>
        <w:rPr>
          <w:sz w:val="22"/>
        </w:rPr>
      </w:pPr>
      <w:r>
        <w:rPr>
          <w:sz w:val="22"/>
        </w:rPr>
        <w:t xml:space="preserve">It is anticipated that through a modest number of concessions, changed course offers and minimal recruitment through Clearing, the University will meet its intake target of 3126.  </w:t>
      </w:r>
    </w:p>
    <w:p w:rsidR="009A1B1C" w:rsidRDefault="009A1B1C" w:rsidP="009A1B1C">
      <w:pPr>
        <w:rPr>
          <w:sz w:val="22"/>
        </w:rPr>
      </w:pPr>
    </w:p>
    <w:p w:rsidR="009A1B1C" w:rsidRDefault="009A1B1C" w:rsidP="009A1B1C">
      <w:pPr>
        <w:rPr>
          <w:sz w:val="22"/>
        </w:rPr>
      </w:pPr>
    </w:p>
    <w:p w:rsidR="009A1B1C" w:rsidRDefault="009A1B1C" w:rsidP="009A1B1C">
      <w:pPr>
        <w:rPr>
          <w:sz w:val="22"/>
        </w:rPr>
      </w:pPr>
    </w:p>
    <w:p w:rsidR="009A1B1C" w:rsidRDefault="009A1B1C" w:rsidP="009A1B1C">
      <w:pPr>
        <w:rPr>
          <w:sz w:val="22"/>
        </w:rPr>
      </w:pPr>
    </w:p>
    <w:p w:rsidR="009A1B1C" w:rsidRDefault="009A1B1C" w:rsidP="009A1B1C">
      <w:pPr>
        <w:rPr>
          <w:sz w:val="22"/>
        </w:rPr>
      </w:pPr>
    </w:p>
    <w:p w:rsidR="009A1B1C" w:rsidRDefault="009A1B1C" w:rsidP="009A1B1C">
      <w:pPr>
        <w:rPr>
          <w:sz w:val="22"/>
        </w:rPr>
      </w:pPr>
      <w:r>
        <w:rPr>
          <w:sz w:val="22"/>
        </w:rPr>
        <w:t>There is much uncertainty over the admissions process this year in view of the significant increase in fees for 2012 entry.  It is anticipated that there will be fewer withdrawals and deferrals to 2012 after the release of results, and that there may be an increase in re-mark requests by prospective students.  Added uncertainty for Loughborough is due to a large number of insurance choices for some programmes.  Careful monitoring over Confirmation and Clearing will be necessary to balance these factors.</w:t>
      </w:r>
    </w:p>
    <w:p w:rsidR="009A1B1C" w:rsidRDefault="009A1B1C" w:rsidP="009A1B1C">
      <w:pPr>
        <w:rPr>
          <w:sz w:val="22"/>
        </w:rPr>
      </w:pPr>
    </w:p>
    <w:p w:rsidR="009A1B1C" w:rsidRPr="00F973DB" w:rsidRDefault="009A1B1C" w:rsidP="009A1B1C">
      <w:pPr>
        <w:rPr>
          <w:sz w:val="22"/>
        </w:rPr>
      </w:pPr>
      <w:r w:rsidRPr="00F973DB">
        <w:rPr>
          <w:sz w:val="22"/>
        </w:rPr>
        <w:t>Other features of the current admission process include:</w:t>
      </w:r>
    </w:p>
    <w:p w:rsidR="009A1B1C" w:rsidRDefault="009A1B1C" w:rsidP="009A1B1C">
      <w:pPr>
        <w:pStyle w:val="MediumGrid1-Accent2"/>
        <w:numPr>
          <w:ilvl w:val="0"/>
          <w:numId w:val="4"/>
        </w:numPr>
        <w:spacing w:after="0"/>
        <w:ind w:left="567" w:hanging="567"/>
        <w:rPr>
          <w:rFonts w:ascii="Arial" w:hAnsi="Arial" w:cs="Arial"/>
          <w:szCs w:val="24"/>
        </w:rPr>
      </w:pPr>
      <w:r>
        <w:rPr>
          <w:rFonts w:ascii="Arial" w:hAnsi="Arial" w:cs="Arial"/>
          <w:szCs w:val="24"/>
        </w:rPr>
        <w:t>Entry requirements have been increased for 64 programmes across the University</w:t>
      </w:r>
    </w:p>
    <w:p w:rsidR="009A1B1C" w:rsidRPr="00DC415C" w:rsidRDefault="009A1B1C" w:rsidP="009A1B1C">
      <w:pPr>
        <w:pStyle w:val="MediumGrid1-Accent2"/>
        <w:numPr>
          <w:ilvl w:val="0"/>
          <w:numId w:val="4"/>
        </w:numPr>
        <w:spacing w:after="0"/>
        <w:ind w:left="567" w:hanging="567"/>
        <w:rPr>
          <w:rFonts w:ascii="Arial" w:hAnsi="Arial" w:cs="Arial"/>
          <w:szCs w:val="24"/>
        </w:rPr>
      </w:pPr>
      <w:r>
        <w:rPr>
          <w:rFonts w:ascii="Arial" w:hAnsi="Arial" w:cs="Arial"/>
          <w:szCs w:val="24"/>
        </w:rPr>
        <w:t>Mechanical Engineering has increased its offer to A*AA for its MEng programme and recruitment remains strong</w:t>
      </w:r>
    </w:p>
    <w:p w:rsidR="009A1B1C" w:rsidRPr="00F973DB" w:rsidRDefault="009A1B1C" w:rsidP="009A1B1C">
      <w:pPr>
        <w:pStyle w:val="MediumGrid1-Accent2"/>
        <w:numPr>
          <w:ilvl w:val="0"/>
          <w:numId w:val="4"/>
        </w:numPr>
        <w:spacing w:after="0"/>
        <w:ind w:left="567" w:hanging="567"/>
        <w:rPr>
          <w:rFonts w:ascii="Arial" w:hAnsi="Arial" w:cs="Arial"/>
          <w:szCs w:val="24"/>
        </w:rPr>
      </w:pPr>
      <w:r>
        <w:rPr>
          <w:rFonts w:ascii="Arial" w:hAnsi="Arial" w:cs="Arial"/>
          <w:szCs w:val="24"/>
        </w:rPr>
        <w:t>The standard offer for all programmes is now BBB (300 points) or above</w:t>
      </w:r>
    </w:p>
    <w:p w:rsidR="009A1B1C" w:rsidRDefault="009A1B1C" w:rsidP="009A1B1C">
      <w:pPr>
        <w:pStyle w:val="MediumGrid1-Accent2"/>
        <w:numPr>
          <w:ilvl w:val="0"/>
          <w:numId w:val="4"/>
        </w:numPr>
        <w:spacing w:after="0"/>
        <w:ind w:left="567" w:hanging="567"/>
        <w:rPr>
          <w:rFonts w:ascii="Arial" w:hAnsi="Arial" w:cs="Arial"/>
          <w:szCs w:val="24"/>
        </w:rPr>
      </w:pPr>
      <w:r w:rsidRPr="00F973DB">
        <w:rPr>
          <w:rFonts w:ascii="Arial" w:hAnsi="Arial" w:cs="Arial"/>
          <w:szCs w:val="24"/>
        </w:rPr>
        <w:t xml:space="preserve">The responses of many applicants to their offers </w:t>
      </w:r>
      <w:r>
        <w:rPr>
          <w:rFonts w:ascii="Arial" w:hAnsi="Arial" w:cs="Arial"/>
          <w:szCs w:val="24"/>
        </w:rPr>
        <w:t xml:space="preserve">demonstrates that </w:t>
      </w:r>
      <w:r w:rsidRPr="00F973DB">
        <w:rPr>
          <w:rFonts w:ascii="Arial" w:hAnsi="Arial" w:cs="Arial"/>
          <w:szCs w:val="24"/>
        </w:rPr>
        <w:t xml:space="preserve">Loughborough </w:t>
      </w:r>
      <w:r>
        <w:rPr>
          <w:rFonts w:ascii="Arial" w:hAnsi="Arial" w:cs="Arial"/>
          <w:szCs w:val="24"/>
        </w:rPr>
        <w:t xml:space="preserve">is coupled </w:t>
      </w:r>
      <w:r w:rsidRPr="00F973DB">
        <w:rPr>
          <w:rFonts w:ascii="Arial" w:hAnsi="Arial" w:cs="Arial"/>
          <w:szCs w:val="24"/>
        </w:rPr>
        <w:t>with the leading selecting universities as t</w:t>
      </w:r>
      <w:r>
        <w:rPr>
          <w:rFonts w:ascii="Arial" w:hAnsi="Arial" w:cs="Arial"/>
          <w:szCs w:val="24"/>
        </w:rPr>
        <w:t xml:space="preserve">he preferred choice, either </w:t>
      </w:r>
      <w:r w:rsidRPr="00F973DB">
        <w:rPr>
          <w:rFonts w:ascii="Arial" w:hAnsi="Arial" w:cs="Arial"/>
          <w:szCs w:val="24"/>
        </w:rPr>
        <w:t>as firm or insurance university</w:t>
      </w:r>
    </w:p>
    <w:p w:rsidR="009A1B1C" w:rsidRPr="00F973DB" w:rsidRDefault="009A1B1C" w:rsidP="009A1B1C">
      <w:pPr>
        <w:pStyle w:val="MediumGrid1-Accent2"/>
        <w:spacing w:after="0"/>
        <w:ind w:left="567"/>
        <w:rPr>
          <w:rFonts w:ascii="Arial" w:hAnsi="Arial" w:cs="Arial"/>
          <w:szCs w:val="24"/>
        </w:rPr>
      </w:pPr>
    </w:p>
    <w:p w:rsidR="009A1B1C" w:rsidRPr="00F973DB" w:rsidRDefault="009A1B1C" w:rsidP="009A1B1C">
      <w:pPr>
        <w:rPr>
          <w:b/>
          <w:sz w:val="22"/>
        </w:rPr>
      </w:pPr>
      <w:r w:rsidRPr="00F973DB">
        <w:rPr>
          <w:b/>
          <w:sz w:val="22"/>
        </w:rPr>
        <w:t>International</w:t>
      </w:r>
    </w:p>
    <w:p w:rsidR="009A1B1C" w:rsidRDefault="009A1B1C" w:rsidP="009A1B1C">
      <w:pPr>
        <w:rPr>
          <w:sz w:val="22"/>
        </w:rPr>
      </w:pPr>
      <w:r>
        <w:rPr>
          <w:sz w:val="22"/>
        </w:rPr>
        <w:t>There are fewer unconditional firm offers for 2011 entry and the number of CF and CIs is also down on 2010.  There have been significant changes to the UK Border Agency’s visa regulations from 21 April 2011 including stricter English language criteria and the removal of the post-study work visa option for international students.  These changes have had a negative impact on international applications, particularly those from India.  The changes have also affected the China Partnership students.</w:t>
      </w:r>
    </w:p>
    <w:p w:rsidR="009A1B1C" w:rsidRDefault="009A1B1C" w:rsidP="009A1B1C">
      <w:pPr>
        <w:rPr>
          <w:sz w:val="22"/>
        </w:rPr>
      </w:pPr>
    </w:p>
    <w:p w:rsidR="009A1B1C" w:rsidRDefault="009A1B1C" w:rsidP="009A1B1C">
      <w:pPr>
        <w:rPr>
          <w:sz w:val="22"/>
        </w:rPr>
      </w:pPr>
      <w:r>
        <w:rPr>
          <w:sz w:val="22"/>
        </w:rPr>
        <w:t>Various conversion activities have been instigated by the Admissions Office and International Office to mitigate these concerns, including e-newsletters and Skype chat with applicants.</w:t>
      </w:r>
    </w:p>
    <w:p w:rsidR="009A1B1C" w:rsidRDefault="009A1B1C" w:rsidP="009A1B1C">
      <w:pPr>
        <w:rPr>
          <w:sz w:val="22"/>
        </w:rPr>
      </w:pPr>
    </w:p>
    <w:p w:rsidR="009A1B1C" w:rsidRPr="00F973DB" w:rsidRDefault="009A1B1C" w:rsidP="009A1B1C">
      <w:pPr>
        <w:rPr>
          <w:sz w:val="22"/>
        </w:rPr>
      </w:pPr>
      <w:r>
        <w:rPr>
          <w:sz w:val="22"/>
        </w:rPr>
        <w:t>Through the use of concessions and Clearing activity in Hong Kong, the University should recruit close to target but may not meet its intake target.</w:t>
      </w:r>
    </w:p>
    <w:p w:rsidR="009A1B1C" w:rsidRPr="00F973DB" w:rsidRDefault="009A1B1C" w:rsidP="009A1B1C">
      <w:pPr>
        <w:ind w:left="567" w:hanging="567"/>
        <w:rPr>
          <w:sz w:val="22"/>
        </w:rPr>
      </w:pPr>
    </w:p>
    <w:p w:rsidR="009A1B1C" w:rsidRPr="00F973DB" w:rsidRDefault="009A1B1C" w:rsidP="009A1B1C">
      <w:pPr>
        <w:pStyle w:val="MediumGrid1-Accent2"/>
        <w:spacing w:after="0"/>
        <w:ind w:left="0"/>
        <w:rPr>
          <w:rFonts w:ascii="Arial" w:hAnsi="Arial" w:cs="Arial"/>
          <w:b/>
          <w:szCs w:val="24"/>
        </w:rPr>
      </w:pPr>
      <w:r w:rsidRPr="00F973DB">
        <w:rPr>
          <w:rFonts w:ascii="Arial" w:hAnsi="Arial" w:cs="Arial"/>
          <w:b/>
          <w:szCs w:val="24"/>
        </w:rPr>
        <w:t>Taught Postgraduate</w:t>
      </w:r>
    </w:p>
    <w:p w:rsidR="009A1B1C" w:rsidRDefault="009A1B1C" w:rsidP="009A1B1C">
      <w:pPr>
        <w:rPr>
          <w:b/>
          <w:sz w:val="22"/>
        </w:rPr>
      </w:pPr>
      <w:r w:rsidRPr="00F973DB">
        <w:rPr>
          <w:b/>
          <w:sz w:val="22"/>
        </w:rPr>
        <w:t>UK/EU</w:t>
      </w:r>
    </w:p>
    <w:p w:rsidR="009A1B1C" w:rsidRPr="00F75E58" w:rsidRDefault="009A1B1C" w:rsidP="009A1B1C">
      <w:pPr>
        <w:rPr>
          <w:bCs/>
          <w:sz w:val="22"/>
        </w:rPr>
      </w:pPr>
      <w:r>
        <w:rPr>
          <w:bCs/>
          <w:sz w:val="22"/>
        </w:rPr>
        <w:t>At the beginning of June applications had increased by 15% and offers by 18%.  Particular increases have been recorded in the School of Business and Economics, (up by 32%) and in the School of Sport, Exercise and Health Sciences (up by 21%).</w:t>
      </w:r>
    </w:p>
    <w:p w:rsidR="009A1B1C" w:rsidRDefault="009A1B1C" w:rsidP="009A1B1C">
      <w:pPr>
        <w:rPr>
          <w:b/>
          <w:sz w:val="22"/>
        </w:rPr>
      </w:pPr>
    </w:p>
    <w:p w:rsidR="009A1B1C" w:rsidRDefault="009A1B1C" w:rsidP="009A1B1C">
      <w:pPr>
        <w:rPr>
          <w:bCs/>
          <w:sz w:val="22"/>
        </w:rPr>
      </w:pPr>
      <w:r>
        <w:rPr>
          <w:bCs/>
          <w:sz w:val="22"/>
        </w:rPr>
        <w:t xml:space="preserve">To date, responses have only been received from a small proportion of applicants but early figures are promising with an increase of 23% in conditional/ unconditional provisionals and 37% in unconditional firms.  </w:t>
      </w:r>
    </w:p>
    <w:p w:rsidR="009A1B1C" w:rsidRDefault="009A1B1C" w:rsidP="009A1B1C">
      <w:pPr>
        <w:rPr>
          <w:bCs/>
          <w:sz w:val="22"/>
        </w:rPr>
      </w:pPr>
    </w:p>
    <w:p w:rsidR="009A1B1C" w:rsidRPr="00F75E58" w:rsidRDefault="009A1B1C" w:rsidP="009A1B1C">
      <w:pPr>
        <w:rPr>
          <w:bCs/>
          <w:sz w:val="22"/>
        </w:rPr>
      </w:pPr>
      <w:r>
        <w:rPr>
          <w:bCs/>
          <w:sz w:val="22"/>
        </w:rPr>
        <w:t>It is predicted that the University will meet its intake target.</w:t>
      </w:r>
    </w:p>
    <w:p w:rsidR="009A1B1C" w:rsidRDefault="009A1B1C" w:rsidP="009A1B1C">
      <w:pPr>
        <w:rPr>
          <w:sz w:val="22"/>
        </w:rPr>
      </w:pPr>
    </w:p>
    <w:p w:rsidR="009A1B1C" w:rsidRDefault="009A1B1C" w:rsidP="009A1B1C">
      <w:pPr>
        <w:rPr>
          <w:b/>
          <w:sz w:val="22"/>
        </w:rPr>
      </w:pPr>
    </w:p>
    <w:p w:rsidR="009A1B1C" w:rsidRDefault="009A1B1C" w:rsidP="009A1B1C">
      <w:pPr>
        <w:rPr>
          <w:b/>
          <w:sz w:val="22"/>
        </w:rPr>
      </w:pPr>
    </w:p>
    <w:p w:rsidR="009A1B1C" w:rsidRDefault="009A1B1C" w:rsidP="009A1B1C">
      <w:pPr>
        <w:rPr>
          <w:b/>
          <w:sz w:val="22"/>
        </w:rPr>
      </w:pPr>
    </w:p>
    <w:p w:rsidR="009A1B1C" w:rsidRDefault="009A1B1C" w:rsidP="009A1B1C">
      <w:pPr>
        <w:rPr>
          <w:b/>
          <w:sz w:val="22"/>
        </w:rPr>
      </w:pPr>
    </w:p>
    <w:p w:rsidR="009A1B1C" w:rsidRDefault="009A1B1C" w:rsidP="009A1B1C">
      <w:pPr>
        <w:rPr>
          <w:b/>
          <w:sz w:val="22"/>
        </w:rPr>
      </w:pPr>
    </w:p>
    <w:p w:rsidR="009A1B1C" w:rsidRDefault="009A1B1C" w:rsidP="009A1B1C">
      <w:pPr>
        <w:rPr>
          <w:b/>
          <w:sz w:val="22"/>
        </w:rPr>
      </w:pPr>
    </w:p>
    <w:p w:rsidR="009A1B1C" w:rsidRDefault="009A1B1C" w:rsidP="009A1B1C">
      <w:pPr>
        <w:rPr>
          <w:b/>
          <w:sz w:val="22"/>
        </w:rPr>
      </w:pPr>
    </w:p>
    <w:p w:rsidR="009A1B1C" w:rsidRPr="00F973DB" w:rsidRDefault="009A1B1C" w:rsidP="009A1B1C">
      <w:pPr>
        <w:rPr>
          <w:b/>
          <w:sz w:val="22"/>
        </w:rPr>
      </w:pPr>
      <w:r w:rsidRPr="00F973DB">
        <w:rPr>
          <w:b/>
          <w:sz w:val="22"/>
        </w:rPr>
        <w:t>International</w:t>
      </w:r>
    </w:p>
    <w:p w:rsidR="009A1B1C" w:rsidRDefault="009A1B1C" w:rsidP="009A1B1C">
      <w:pPr>
        <w:rPr>
          <w:sz w:val="22"/>
        </w:rPr>
      </w:pPr>
      <w:r>
        <w:rPr>
          <w:sz w:val="22"/>
        </w:rPr>
        <w:t>At the beginning of June applications were up by 16% and offers by 21%.  China continues to dominate, with an increase of 34%.  There have been increases also from Nigeria and Uganda but decreases from India, Thailand, Taiwan, Saudi Arabia and Pakistan.  As with international undergraduate applications, changes to the visa system have affected postgraduate taught applications.  Certificates of Acceptance of Studies are being issued daily to ensure that applicants have sufficient time to apply for their visa.</w:t>
      </w:r>
    </w:p>
    <w:p w:rsidR="009A1B1C" w:rsidRDefault="009A1B1C" w:rsidP="009A1B1C">
      <w:pPr>
        <w:rPr>
          <w:sz w:val="22"/>
        </w:rPr>
      </w:pPr>
    </w:p>
    <w:p w:rsidR="009A1B1C" w:rsidRDefault="009A1B1C" w:rsidP="009A1B1C">
      <w:pPr>
        <w:rPr>
          <w:sz w:val="22"/>
        </w:rPr>
      </w:pPr>
      <w:r>
        <w:rPr>
          <w:sz w:val="22"/>
        </w:rPr>
        <w:t>Applicants are beginning to respond to offers and there has been an increase of 70% in conditional/unconditional provisional and 33% in unconditional firms.</w:t>
      </w:r>
    </w:p>
    <w:p w:rsidR="009A1B1C" w:rsidRDefault="009A1B1C" w:rsidP="009A1B1C">
      <w:pPr>
        <w:rPr>
          <w:sz w:val="22"/>
        </w:rPr>
      </w:pPr>
    </w:p>
    <w:p w:rsidR="009A1B1C" w:rsidRPr="00F973DB" w:rsidRDefault="009A1B1C" w:rsidP="009A1B1C">
      <w:pPr>
        <w:rPr>
          <w:sz w:val="22"/>
        </w:rPr>
      </w:pPr>
      <w:r>
        <w:rPr>
          <w:sz w:val="22"/>
        </w:rPr>
        <w:t>I</w:t>
      </w:r>
      <w:r w:rsidRPr="00F973DB">
        <w:rPr>
          <w:sz w:val="22"/>
        </w:rPr>
        <w:t xml:space="preserve">t </w:t>
      </w:r>
      <w:r>
        <w:rPr>
          <w:sz w:val="22"/>
        </w:rPr>
        <w:t>is anticipated that the University will meet its intake target.</w:t>
      </w:r>
      <w:r w:rsidRPr="00F973DB">
        <w:rPr>
          <w:sz w:val="22"/>
        </w:rPr>
        <w:t xml:space="preserve">  </w:t>
      </w:r>
    </w:p>
    <w:p w:rsidR="009A1B1C" w:rsidRDefault="009A1B1C" w:rsidP="009A1B1C">
      <w:pPr>
        <w:rPr>
          <w:sz w:val="22"/>
          <w:szCs w:val="22"/>
        </w:rPr>
      </w:pPr>
    </w:p>
    <w:p w:rsidR="009A1B1C" w:rsidRPr="00CD4A0B" w:rsidRDefault="009A1B1C" w:rsidP="009A1B1C">
      <w:pPr>
        <w:rPr>
          <w:sz w:val="22"/>
          <w:szCs w:val="22"/>
        </w:rPr>
      </w:pPr>
      <w:r w:rsidRPr="00D81F9C">
        <w:rPr>
          <w:sz w:val="22"/>
          <w:szCs w:val="22"/>
        </w:rPr>
        <w:pict>
          <v:rect id="_x0000_i1025" style="width:0;height:1.5pt" o:hralign="center" o:hrstd="t" o:hr="t" fillcolor="#9d9da1" stroked="f"/>
        </w:pict>
      </w:r>
      <w:r>
        <w:rPr>
          <w:sz w:val="18"/>
        </w:rPr>
        <w:t>Author – R L Atkin, M Bell</w:t>
      </w:r>
    </w:p>
    <w:p w:rsidR="009A1B1C" w:rsidRDefault="009A1B1C" w:rsidP="009A1B1C">
      <w:pPr>
        <w:rPr>
          <w:sz w:val="18"/>
        </w:rPr>
      </w:pPr>
      <w:r>
        <w:rPr>
          <w:sz w:val="18"/>
        </w:rPr>
        <w:t xml:space="preserve">Date – June 2011  </w:t>
      </w:r>
    </w:p>
    <w:p w:rsidR="009A1B1C" w:rsidRDefault="009A1B1C" w:rsidP="009A1B1C">
      <w:pPr>
        <w:rPr>
          <w:sz w:val="18"/>
        </w:rPr>
      </w:pPr>
      <w:r>
        <w:rPr>
          <w:sz w:val="18"/>
        </w:rPr>
        <w:t>Copyright © Loughborough University.  All rights reserved</w:t>
      </w:r>
    </w:p>
    <w:p w:rsidR="009A1B1C" w:rsidRDefault="009A1B1C" w:rsidP="009A1B1C"/>
    <w:sectPr w:rsidR="009A1B1C" w:rsidSect="009A1B1C">
      <w:headerReference w:type="default" r:id="rId9"/>
      <w:footerReference w:type="even" r:id="rId10"/>
      <w:footerReference w:type="default" r:id="rId11"/>
      <w:headerReference w:type="first" r:id="rId12"/>
      <w:pgSz w:w="11906" w:h="16838" w:code="9"/>
      <w:pgMar w:top="1440" w:right="1797" w:bottom="1440"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62" w:rsidRDefault="00A02D62">
      <w:r>
        <w:separator/>
      </w:r>
    </w:p>
  </w:endnote>
  <w:endnote w:type="continuationSeparator" w:id="0">
    <w:p w:rsidR="00A02D62" w:rsidRDefault="00A0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1C" w:rsidRDefault="009A1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B1C" w:rsidRDefault="009A1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1C" w:rsidRDefault="009A1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428">
      <w:rPr>
        <w:rStyle w:val="PageNumber"/>
        <w:noProof/>
      </w:rPr>
      <w:t>3</w:t>
    </w:r>
    <w:r>
      <w:rPr>
        <w:rStyle w:val="PageNumber"/>
      </w:rPr>
      <w:fldChar w:fldCharType="end"/>
    </w:r>
  </w:p>
  <w:p w:rsidR="009A1B1C" w:rsidRDefault="009A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62" w:rsidRDefault="00A02D62">
      <w:r>
        <w:separator/>
      </w:r>
    </w:p>
  </w:footnote>
  <w:footnote w:type="continuationSeparator" w:id="0">
    <w:p w:rsidR="00A02D62" w:rsidRDefault="00A0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1C" w:rsidRPr="00E9450C" w:rsidRDefault="009A1B1C">
    <w:pPr>
      <w:pStyle w:val="Header"/>
      <w:rPr>
        <w:sz w:val="20"/>
        <w:szCs w:val="20"/>
      </w:rPr>
    </w:pPr>
    <w:r>
      <w:rPr>
        <w:sz w:val="20"/>
        <w:szCs w:val="20"/>
      </w:rP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1C" w:rsidRDefault="005D36CA" w:rsidP="005D36CA">
    <w:pPr>
      <w:pStyle w:val="Header"/>
      <w:jc w:val="right"/>
      <w:rPr>
        <w:sz w:val="20"/>
        <w:szCs w:val="20"/>
        <w:lang w:val="en-GB"/>
      </w:rPr>
    </w:pPr>
    <w:r>
      <w:rPr>
        <w:sz w:val="20"/>
        <w:szCs w:val="20"/>
        <w:lang w:val="en-GB"/>
      </w:rPr>
      <w:t>SEN11-P66</w:t>
    </w:r>
  </w:p>
  <w:p w:rsidR="005D36CA" w:rsidRPr="005D36CA" w:rsidRDefault="005D36CA" w:rsidP="005D36CA">
    <w:pPr>
      <w:pStyle w:val="Header"/>
      <w:jc w:val="right"/>
      <w:rPr>
        <w:sz w:val="20"/>
        <w:szCs w:val="20"/>
        <w:lang w:val="en-GB"/>
      </w:rPr>
    </w:pPr>
    <w:r>
      <w:rPr>
        <w:sz w:val="20"/>
        <w:szCs w:val="20"/>
        <w:lang w:val="en-GB"/>
      </w:rPr>
      <w:t>8 July 2011</w:t>
    </w:r>
  </w:p>
  <w:p w:rsidR="009A1B1C" w:rsidRDefault="009A1B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65F"/>
    <w:multiLevelType w:val="hybridMultilevel"/>
    <w:tmpl w:val="6EAC54B8"/>
    <w:lvl w:ilvl="0" w:tplc="00110809">
      <w:start w:val="1"/>
      <w:numFmt w:val="decimal"/>
      <w:lvlText w:val="%1)"/>
      <w:lvlJc w:val="left"/>
      <w:pPr>
        <w:ind w:left="720" w:hanging="36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abstractNum w:abstractNumId="1">
    <w:nsid w:val="16137B67"/>
    <w:multiLevelType w:val="hybridMultilevel"/>
    <w:tmpl w:val="CD887A2C"/>
    <w:lvl w:ilvl="0" w:tplc="5FDA9D6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F303161"/>
    <w:multiLevelType w:val="hybridMultilevel"/>
    <w:tmpl w:val="687261C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675F0307"/>
    <w:multiLevelType w:val="hybridMultilevel"/>
    <w:tmpl w:val="92FC7864"/>
    <w:lvl w:ilvl="0" w:tplc="00010809">
      <w:start w:val="1"/>
      <w:numFmt w:val="bullet"/>
      <w:lvlText w:val=""/>
      <w:lvlJc w:val="left"/>
      <w:pPr>
        <w:ind w:left="1560" w:hanging="360"/>
      </w:pPr>
      <w:rPr>
        <w:rFonts w:ascii="Symbol" w:hAnsi="Symbol" w:hint="default"/>
      </w:rPr>
    </w:lvl>
    <w:lvl w:ilvl="1" w:tplc="00030809" w:tentative="1">
      <w:start w:val="1"/>
      <w:numFmt w:val="bullet"/>
      <w:lvlText w:val="o"/>
      <w:lvlJc w:val="left"/>
      <w:pPr>
        <w:ind w:left="2280" w:hanging="360"/>
      </w:pPr>
      <w:rPr>
        <w:rFonts w:ascii="Courier New" w:hAnsi="Courier New" w:cs="Wingdings" w:hint="default"/>
      </w:rPr>
    </w:lvl>
    <w:lvl w:ilvl="2" w:tplc="00050809" w:tentative="1">
      <w:start w:val="1"/>
      <w:numFmt w:val="bullet"/>
      <w:lvlText w:val=""/>
      <w:lvlJc w:val="left"/>
      <w:pPr>
        <w:ind w:left="3000" w:hanging="360"/>
      </w:pPr>
      <w:rPr>
        <w:rFonts w:ascii="Wingdings" w:hAnsi="Wingdings" w:hint="default"/>
      </w:rPr>
    </w:lvl>
    <w:lvl w:ilvl="3" w:tplc="00010809" w:tentative="1">
      <w:start w:val="1"/>
      <w:numFmt w:val="bullet"/>
      <w:lvlText w:val=""/>
      <w:lvlJc w:val="left"/>
      <w:pPr>
        <w:ind w:left="3720" w:hanging="360"/>
      </w:pPr>
      <w:rPr>
        <w:rFonts w:ascii="Symbol" w:hAnsi="Symbol" w:hint="default"/>
      </w:rPr>
    </w:lvl>
    <w:lvl w:ilvl="4" w:tplc="00030809" w:tentative="1">
      <w:start w:val="1"/>
      <w:numFmt w:val="bullet"/>
      <w:lvlText w:val="o"/>
      <w:lvlJc w:val="left"/>
      <w:pPr>
        <w:ind w:left="4440" w:hanging="360"/>
      </w:pPr>
      <w:rPr>
        <w:rFonts w:ascii="Courier New" w:hAnsi="Courier New" w:cs="Wingdings" w:hint="default"/>
      </w:rPr>
    </w:lvl>
    <w:lvl w:ilvl="5" w:tplc="00050809" w:tentative="1">
      <w:start w:val="1"/>
      <w:numFmt w:val="bullet"/>
      <w:lvlText w:val=""/>
      <w:lvlJc w:val="left"/>
      <w:pPr>
        <w:ind w:left="5160" w:hanging="360"/>
      </w:pPr>
      <w:rPr>
        <w:rFonts w:ascii="Wingdings" w:hAnsi="Wingdings" w:hint="default"/>
      </w:rPr>
    </w:lvl>
    <w:lvl w:ilvl="6" w:tplc="00010809" w:tentative="1">
      <w:start w:val="1"/>
      <w:numFmt w:val="bullet"/>
      <w:lvlText w:val=""/>
      <w:lvlJc w:val="left"/>
      <w:pPr>
        <w:ind w:left="5880" w:hanging="360"/>
      </w:pPr>
      <w:rPr>
        <w:rFonts w:ascii="Symbol" w:hAnsi="Symbol" w:hint="default"/>
      </w:rPr>
    </w:lvl>
    <w:lvl w:ilvl="7" w:tplc="00030809" w:tentative="1">
      <w:start w:val="1"/>
      <w:numFmt w:val="bullet"/>
      <w:lvlText w:val="o"/>
      <w:lvlJc w:val="left"/>
      <w:pPr>
        <w:ind w:left="6600" w:hanging="360"/>
      </w:pPr>
      <w:rPr>
        <w:rFonts w:ascii="Courier New" w:hAnsi="Courier New" w:cs="Wingdings" w:hint="default"/>
      </w:rPr>
    </w:lvl>
    <w:lvl w:ilvl="8" w:tplc="00050809" w:tentative="1">
      <w:start w:val="1"/>
      <w:numFmt w:val="bullet"/>
      <w:lvlText w:val=""/>
      <w:lvlJc w:val="left"/>
      <w:pPr>
        <w:ind w:left="73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A3"/>
    <w:rsid w:val="00392428"/>
    <w:rsid w:val="005D36CA"/>
    <w:rsid w:val="009A1B1C"/>
    <w:rsid w:val="00A02D62"/>
  </w:rsids>
  <m:mathPr>
    <m:mathFont m:val="Cambria Math"/>
    <m:brkBin m:val="before"/>
    <m:brkBinSub m:val="--"/>
    <m:smallFrac m:val="0"/>
    <m:dispDef m:val="0"/>
    <m:lMargin m:val="0"/>
    <m:rMargin m:val="0"/>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56BA3"/>
    <w:rPr>
      <w:rFonts w:ascii="Arial" w:eastAsia="Times New Roman" w:hAnsi="Arial" w:cs="Arial"/>
      <w:sz w:val="24"/>
      <w:szCs w:val="24"/>
      <w:lang w:eastAsia="en-GB"/>
    </w:rPr>
  </w:style>
  <w:style w:type="paragraph" w:styleId="Heading1">
    <w:name w:val="heading 1"/>
    <w:basedOn w:val="Normal"/>
    <w:next w:val="Normal"/>
    <w:link w:val="Heading1Char"/>
    <w:qFormat/>
    <w:rsid w:val="00656BA3"/>
    <w:pPr>
      <w:keepNext/>
      <w:outlineLvl w:val="0"/>
    </w:pPr>
    <w:rPr>
      <w:rFonts w:ascii="Times New Roman" w:hAnsi="Times New Roman" w:cs="Times New Roman"/>
      <w:b/>
      <w:sz w:val="28"/>
      <w:szCs w:val="20"/>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656BA3"/>
    <w:rPr>
      <w:rFonts w:ascii="Times New Roman" w:eastAsia="Times New Roman" w:hAnsi="Times New Roman" w:cs="Times New Roman"/>
      <w:b/>
      <w:sz w:val="28"/>
    </w:rPr>
  </w:style>
  <w:style w:type="paragraph" w:styleId="Header">
    <w:name w:val="header"/>
    <w:basedOn w:val="Normal"/>
    <w:link w:val="HeaderChar"/>
    <w:rsid w:val="00656BA3"/>
    <w:pPr>
      <w:tabs>
        <w:tab w:val="center" w:pos="4153"/>
        <w:tab w:val="right" w:pos="8306"/>
      </w:tabs>
    </w:pPr>
    <w:rPr>
      <w:rFonts w:cs="Times New Roman"/>
      <w:lang w:val="x-none"/>
    </w:rPr>
  </w:style>
  <w:style w:type="character" w:customStyle="1" w:styleId="HeaderChar">
    <w:name w:val="Header Char"/>
    <w:link w:val="Header"/>
    <w:rsid w:val="00656BA3"/>
    <w:rPr>
      <w:rFonts w:ascii="Arial" w:eastAsia="Times New Roman" w:hAnsi="Arial" w:cs="Arial"/>
      <w:sz w:val="24"/>
      <w:szCs w:val="24"/>
      <w:lang w:eastAsia="en-GB"/>
    </w:rPr>
  </w:style>
  <w:style w:type="paragraph" w:styleId="Footer">
    <w:name w:val="footer"/>
    <w:basedOn w:val="Normal"/>
    <w:link w:val="FooterChar"/>
    <w:rsid w:val="00656BA3"/>
    <w:pPr>
      <w:tabs>
        <w:tab w:val="center" w:pos="4153"/>
        <w:tab w:val="right" w:pos="8306"/>
      </w:tabs>
    </w:pPr>
    <w:rPr>
      <w:rFonts w:cs="Times New Roman"/>
      <w:lang w:val="x-none"/>
    </w:rPr>
  </w:style>
  <w:style w:type="character" w:customStyle="1" w:styleId="FooterChar">
    <w:name w:val="Footer Char"/>
    <w:link w:val="Footer"/>
    <w:rsid w:val="00656BA3"/>
    <w:rPr>
      <w:rFonts w:ascii="Arial" w:eastAsia="Times New Roman" w:hAnsi="Arial" w:cs="Arial"/>
      <w:sz w:val="24"/>
      <w:szCs w:val="24"/>
      <w:lang w:eastAsia="en-GB"/>
    </w:rPr>
  </w:style>
  <w:style w:type="character" w:styleId="PageNumber">
    <w:name w:val="page number"/>
    <w:basedOn w:val="DefaultParagraphFont"/>
    <w:rsid w:val="00656BA3"/>
  </w:style>
  <w:style w:type="paragraph" w:styleId="BalloonText">
    <w:name w:val="Balloon Text"/>
    <w:basedOn w:val="Normal"/>
    <w:link w:val="BalloonTextChar"/>
    <w:uiPriority w:val="99"/>
    <w:semiHidden/>
    <w:unhideWhenUsed/>
    <w:rsid w:val="00F973DB"/>
    <w:rPr>
      <w:rFonts w:ascii="Tahoma" w:eastAsia="Cambria" w:hAnsi="Tahoma" w:cs="Times New Roman"/>
      <w:sz w:val="16"/>
      <w:szCs w:val="16"/>
      <w:lang w:val="x-none" w:eastAsia="x-none"/>
    </w:rPr>
  </w:style>
  <w:style w:type="character" w:customStyle="1" w:styleId="BalloonTextChar">
    <w:name w:val="Balloon Text Char"/>
    <w:link w:val="BalloonText"/>
    <w:uiPriority w:val="99"/>
    <w:semiHidden/>
    <w:rsid w:val="00F973DB"/>
    <w:rPr>
      <w:rFonts w:ascii="Tahoma" w:eastAsia="Cambria" w:hAnsi="Tahoma" w:cs="Tahoma"/>
      <w:sz w:val="16"/>
      <w:szCs w:val="16"/>
    </w:rPr>
  </w:style>
  <w:style w:type="paragraph" w:styleId="MediumGrid1-Accent2">
    <w:name w:val="Medium Grid 1 Accent 2"/>
    <w:basedOn w:val="Normal"/>
    <w:uiPriority w:val="34"/>
    <w:qFormat/>
    <w:rsid w:val="00F973DB"/>
    <w:pPr>
      <w:spacing w:after="200" w:line="276"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rsid w:val="00F973D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3">
    <w:name w:val="H3"/>
    <w:basedOn w:val="Normal"/>
    <w:next w:val="Normal"/>
    <w:rsid w:val="006072A4"/>
    <w:pPr>
      <w:keepNext/>
      <w:widowControl w:val="0"/>
      <w:spacing w:before="100" w:after="100"/>
      <w:outlineLvl w:val="3"/>
    </w:pPr>
    <w:rPr>
      <w:rFonts w:ascii="Times New Roman" w:hAnsi="Times New Roman" w:cs="Times New Roman"/>
      <w:b/>
      <w:snapToGrid w:val="0"/>
      <w:sz w:val="28"/>
      <w:szCs w:val="20"/>
      <w:lang w:eastAsia="en-US"/>
    </w:rPr>
  </w:style>
  <w:style w:type="paragraph" w:styleId="FootnoteText">
    <w:name w:val="footnote text"/>
    <w:basedOn w:val="Normal"/>
    <w:link w:val="FootnoteTextChar"/>
    <w:rsid w:val="006072A4"/>
    <w:pPr>
      <w:widowControl w:val="0"/>
      <w:spacing w:before="100" w:after="100"/>
    </w:pPr>
    <w:rPr>
      <w:rFonts w:ascii="Times New Roman" w:hAnsi="Times New Roman" w:cs="Times New Roman"/>
      <w:snapToGrid w:val="0"/>
      <w:sz w:val="20"/>
      <w:szCs w:val="20"/>
      <w:lang w:val="x-none" w:eastAsia="x-none"/>
    </w:rPr>
  </w:style>
  <w:style w:type="character" w:customStyle="1" w:styleId="FootnoteTextChar">
    <w:name w:val="Footnote Text Char"/>
    <w:link w:val="FootnoteText"/>
    <w:rsid w:val="006072A4"/>
    <w:rPr>
      <w:rFonts w:ascii="Times New Roman" w:eastAsia="Times New Roman" w:hAnsi="Times New Roman"/>
      <w:snapToGrid w:val="0"/>
    </w:rPr>
  </w:style>
  <w:style w:type="character" w:styleId="FootnoteReference">
    <w:name w:val="footnote reference"/>
    <w:rsid w:val="006072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56BA3"/>
    <w:rPr>
      <w:rFonts w:ascii="Arial" w:eastAsia="Times New Roman" w:hAnsi="Arial" w:cs="Arial"/>
      <w:sz w:val="24"/>
      <w:szCs w:val="24"/>
      <w:lang w:eastAsia="en-GB"/>
    </w:rPr>
  </w:style>
  <w:style w:type="paragraph" w:styleId="Heading1">
    <w:name w:val="heading 1"/>
    <w:basedOn w:val="Normal"/>
    <w:next w:val="Normal"/>
    <w:link w:val="Heading1Char"/>
    <w:qFormat/>
    <w:rsid w:val="00656BA3"/>
    <w:pPr>
      <w:keepNext/>
      <w:outlineLvl w:val="0"/>
    </w:pPr>
    <w:rPr>
      <w:rFonts w:ascii="Times New Roman" w:hAnsi="Times New Roman" w:cs="Times New Roman"/>
      <w:b/>
      <w:sz w:val="28"/>
      <w:szCs w:val="20"/>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656BA3"/>
    <w:rPr>
      <w:rFonts w:ascii="Times New Roman" w:eastAsia="Times New Roman" w:hAnsi="Times New Roman" w:cs="Times New Roman"/>
      <w:b/>
      <w:sz w:val="28"/>
    </w:rPr>
  </w:style>
  <w:style w:type="paragraph" w:styleId="Header">
    <w:name w:val="header"/>
    <w:basedOn w:val="Normal"/>
    <w:link w:val="HeaderChar"/>
    <w:rsid w:val="00656BA3"/>
    <w:pPr>
      <w:tabs>
        <w:tab w:val="center" w:pos="4153"/>
        <w:tab w:val="right" w:pos="8306"/>
      </w:tabs>
    </w:pPr>
    <w:rPr>
      <w:rFonts w:cs="Times New Roman"/>
      <w:lang w:val="x-none"/>
    </w:rPr>
  </w:style>
  <w:style w:type="character" w:customStyle="1" w:styleId="HeaderChar">
    <w:name w:val="Header Char"/>
    <w:link w:val="Header"/>
    <w:rsid w:val="00656BA3"/>
    <w:rPr>
      <w:rFonts w:ascii="Arial" w:eastAsia="Times New Roman" w:hAnsi="Arial" w:cs="Arial"/>
      <w:sz w:val="24"/>
      <w:szCs w:val="24"/>
      <w:lang w:eastAsia="en-GB"/>
    </w:rPr>
  </w:style>
  <w:style w:type="paragraph" w:styleId="Footer">
    <w:name w:val="footer"/>
    <w:basedOn w:val="Normal"/>
    <w:link w:val="FooterChar"/>
    <w:rsid w:val="00656BA3"/>
    <w:pPr>
      <w:tabs>
        <w:tab w:val="center" w:pos="4153"/>
        <w:tab w:val="right" w:pos="8306"/>
      </w:tabs>
    </w:pPr>
    <w:rPr>
      <w:rFonts w:cs="Times New Roman"/>
      <w:lang w:val="x-none"/>
    </w:rPr>
  </w:style>
  <w:style w:type="character" w:customStyle="1" w:styleId="FooterChar">
    <w:name w:val="Footer Char"/>
    <w:link w:val="Footer"/>
    <w:rsid w:val="00656BA3"/>
    <w:rPr>
      <w:rFonts w:ascii="Arial" w:eastAsia="Times New Roman" w:hAnsi="Arial" w:cs="Arial"/>
      <w:sz w:val="24"/>
      <w:szCs w:val="24"/>
      <w:lang w:eastAsia="en-GB"/>
    </w:rPr>
  </w:style>
  <w:style w:type="character" w:styleId="PageNumber">
    <w:name w:val="page number"/>
    <w:basedOn w:val="DefaultParagraphFont"/>
    <w:rsid w:val="00656BA3"/>
  </w:style>
  <w:style w:type="paragraph" w:styleId="BalloonText">
    <w:name w:val="Balloon Text"/>
    <w:basedOn w:val="Normal"/>
    <w:link w:val="BalloonTextChar"/>
    <w:uiPriority w:val="99"/>
    <w:semiHidden/>
    <w:unhideWhenUsed/>
    <w:rsid w:val="00F973DB"/>
    <w:rPr>
      <w:rFonts w:ascii="Tahoma" w:eastAsia="Cambria" w:hAnsi="Tahoma" w:cs="Times New Roman"/>
      <w:sz w:val="16"/>
      <w:szCs w:val="16"/>
      <w:lang w:val="x-none" w:eastAsia="x-none"/>
    </w:rPr>
  </w:style>
  <w:style w:type="character" w:customStyle="1" w:styleId="BalloonTextChar">
    <w:name w:val="Balloon Text Char"/>
    <w:link w:val="BalloonText"/>
    <w:uiPriority w:val="99"/>
    <w:semiHidden/>
    <w:rsid w:val="00F973DB"/>
    <w:rPr>
      <w:rFonts w:ascii="Tahoma" w:eastAsia="Cambria" w:hAnsi="Tahoma" w:cs="Tahoma"/>
      <w:sz w:val="16"/>
      <w:szCs w:val="16"/>
    </w:rPr>
  </w:style>
  <w:style w:type="paragraph" w:styleId="MediumGrid1-Accent2">
    <w:name w:val="Medium Grid 1 Accent 2"/>
    <w:basedOn w:val="Normal"/>
    <w:uiPriority w:val="34"/>
    <w:qFormat/>
    <w:rsid w:val="00F973DB"/>
    <w:pPr>
      <w:spacing w:after="200" w:line="276"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rsid w:val="00F973D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3">
    <w:name w:val="H3"/>
    <w:basedOn w:val="Normal"/>
    <w:next w:val="Normal"/>
    <w:rsid w:val="006072A4"/>
    <w:pPr>
      <w:keepNext/>
      <w:widowControl w:val="0"/>
      <w:spacing w:before="100" w:after="100"/>
      <w:outlineLvl w:val="3"/>
    </w:pPr>
    <w:rPr>
      <w:rFonts w:ascii="Times New Roman" w:hAnsi="Times New Roman" w:cs="Times New Roman"/>
      <w:b/>
      <w:snapToGrid w:val="0"/>
      <w:sz w:val="28"/>
      <w:szCs w:val="20"/>
      <w:lang w:eastAsia="en-US"/>
    </w:rPr>
  </w:style>
  <w:style w:type="paragraph" w:styleId="FootnoteText">
    <w:name w:val="footnote text"/>
    <w:basedOn w:val="Normal"/>
    <w:link w:val="FootnoteTextChar"/>
    <w:rsid w:val="006072A4"/>
    <w:pPr>
      <w:widowControl w:val="0"/>
      <w:spacing w:before="100" w:after="100"/>
    </w:pPr>
    <w:rPr>
      <w:rFonts w:ascii="Times New Roman" w:hAnsi="Times New Roman" w:cs="Times New Roman"/>
      <w:snapToGrid w:val="0"/>
      <w:sz w:val="20"/>
      <w:szCs w:val="20"/>
      <w:lang w:val="x-none" w:eastAsia="x-none"/>
    </w:rPr>
  </w:style>
  <w:style w:type="character" w:customStyle="1" w:styleId="FootnoteTextChar">
    <w:name w:val="Footnote Text Char"/>
    <w:link w:val="FootnoteText"/>
    <w:rsid w:val="006072A4"/>
    <w:rPr>
      <w:rFonts w:ascii="Times New Roman" w:eastAsia="Times New Roman" w:hAnsi="Times New Roman"/>
      <w:snapToGrid w:val="0"/>
    </w:rPr>
  </w:style>
  <w:style w:type="character" w:styleId="FootnoteReference">
    <w:name w:val="footnote reference"/>
    <w:rsid w:val="00607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Bell</dc:creator>
  <cp:lastModifiedBy>Staff/Research Student</cp:lastModifiedBy>
  <cp:revision>2</cp:revision>
  <cp:lastPrinted>2011-06-23T11:08:00Z</cp:lastPrinted>
  <dcterms:created xsi:type="dcterms:W3CDTF">2011-07-01T10:07:00Z</dcterms:created>
  <dcterms:modified xsi:type="dcterms:W3CDTF">2011-07-01T10:07:00Z</dcterms:modified>
</cp:coreProperties>
</file>