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27" w:rsidRDefault="00BC3127"/>
    <w:p w:rsidR="00BC3127" w:rsidRDefault="00BC3127"/>
    <w:p w:rsidR="00BC3127" w:rsidRDefault="00BC3127"/>
    <w:p w:rsidR="00BC3127" w:rsidRDefault="00BC3127"/>
    <w:tbl>
      <w:tblPr>
        <w:tblW w:w="9360" w:type="dxa"/>
        <w:tblCellMar>
          <w:left w:w="80" w:type="dxa"/>
          <w:right w:w="80" w:type="dxa"/>
        </w:tblCellMar>
        <w:tblLook w:val="0000" w:firstRow="0" w:lastRow="0" w:firstColumn="0" w:lastColumn="0" w:noHBand="0" w:noVBand="0"/>
      </w:tblPr>
      <w:tblGrid>
        <w:gridCol w:w="5760"/>
        <w:gridCol w:w="3600"/>
      </w:tblGrid>
      <w:tr w:rsidR="006A2611" w:rsidTr="009A5D32">
        <w:trPr>
          <w:trHeight w:val="1152"/>
        </w:trPr>
        <w:tc>
          <w:tcPr>
            <w:tcW w:w="5760" w:type="dxa"/>
          </w:tcPr>
          <w:p w:rsidR="006A2611" w:rsidRDefault="00D2379B" w:rsidP="009A5D32">
            <w:pPr>
              <w:pStyle w:val="Heading1"/>
              <w:rPr>
                <w:rFonts w:ascii="Arial Unicode MS" w:eastAsia="Arial Unicode MS" w:hAnsi="Arial Unicode MS" w:cs="Arial Unicode MS"/>
              </w:rPr>
            </w:pPr>
            <w:r>
              <w:rPr>
                <w:rFonts w:ascii="Arial Unicode MS" w:eastAsia="Arial Unicode MS" w:hAnsi="Arial Unicode MS" w:cs="Arial Unicode MS"/>
                <w:noProof/>
                <w:lang w:eastAsia="zh-CN"/>
              </w:rPr>
              <mc:AlternateContent>
                <mc:Choice Requires="wps">
                  <w:drawing>
                    <wp:anchor distT="0" distB="0" distL="114300" distR="114300" simplePos="0" relativeHeight="251660288" behindDoc="0" locked="0" layoutInCell="1" allowOverlap="1" wp14:anchorId="2F1C0FC0" wp14:editId="6294FECE">
                      <wp:simplePos x="0" y="0"/>
                      <wp:positionH relativeFrom="column">
                        <wp:posOffset>4876800</wp:posOffset>
                      </wp:positionH>
                      <wp:positionV relativeFrom="paragraph">
                        <wp:posOffset>-552450</wp:posOffset>
                      </wp:positionV>
                      <wp:extent cx="1320165" cy="48006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611" w:rsidRPr="00CD5FC0" w:rsidRDefault="006A2611" w:rsidP="006A2611">
                                  <w:pPr>
                                    <w:rPr>
                                      <w:rFonts w:ascii="Arial Narrow" w:hAnsi="Arial Narrow" w:cs="Arial"/>
                                      <w:b/>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pt;margin-top:-43.5pt;width:103.95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YPgQIAAA8FAAAOAAAAZHJzL2Uyb0RvYy54bWysVFtv0zAUfkfiP1h+73IhvSRaOq0dRUjj&#10;Im38ANd2GgvHNrbbZCD+O8dOu5UBEkLkwfHl+DuX7zu+vBo6iQ7cOqFVjbOLFCOuqGZC7Wr86X4z&#10;WWDkPFGMSK14jR+4w1fLly8ue1PxXLdaMm4RgChX9abGrfemShJHW94Rd6ENV3DYaNsRD0u7S5gl&#10;PaB3MsnTdJb02jJjNeXOwe7NeIiXEb9pOPUfmsZxj2SNITYfRxvHbRiT5SWpdpaYVtBjGOQfouiI&#10;UOD0EeqGeIL2VvwC1QlqtdONv6C6S3TTCMpjDpBNlj7L5q4lhsdcoDjOPJbJ/T9Y+v7w0SLBapxj&#10;pEgHFN3zwaOVHlAeqtMbV4HRnQEzP8A2sBwzdeZW088OKb1uidrxa2t133LCILos3EzOro44LoBs&#10;+3eagRuy9zoCDY3tQumgGAjQgaWHR2ZCKDS4fAXlmU0xonBWLID4SF1CqtNtY51/w3WHwqTGFpiP&#10;6ORw63yIhlQnk+DMaSnYRkgZF3a3XUuLDgRUsolfTOCZmVTBWOlwbUQcdyBI8BHOQriR9W9llhfp&#10;Ki8nm9liPik2xXRSztPFJM3KVTlLi7K42XwPAWZF1QrGuLoVip8UmBV/x/CxF0btRA2ivsblNJ+O&#10;FP0xyTR+v0uyEx4aUoquxlBm+IIRqQKxrxWLc0+EHOfJz+HHKkMNTv9YlSiDwPyoAT9sB0AJ2thq&#10;9gCCsBr4AtbhFYFJq+1XjHroyBq7L3tiOUbyrQJRLaZzyAv5uCjms7Cw5yfb8xOiKEDV2GM0Ttd+&#10;bPu9sWLXgqdRxkpfgxAbETXyFNVRvtB1MZnjCxHa+nwdrZ7eseUPAAAA//8DAFBLAwQUAAYACAAA&#10;ACEA9ly22OIAAAALAQAADwAAAGRycy9kb3ducmV2LnhtbEyPwU7DMBBE70j8g7VI3FoniCZpiFMh&#10;EFwqpJJy4OjGbmwRr6PYaQNf3+UEt92d0eybajO7np30GKxHAekyAaax9cpiJ+Bj/7IogIUoUcne&#10;oxbwrQNs6uurSpbKn/Fdn5rYMQrBUEoBJsah5Dy0RjsZln7QSNrRj05GWseOq1GeKdz1/C5JMu6k&#10;Rfpg5KCfjG6/mskJUGH1Ov3sd41Rz/Pn7pjZ7Vtqhbi9mR8fgEU9xz8z/OITOtTEdPATqsB6AXlW&#10;UJcoYFHkNJBjna/WwA50SdN74HXF/3eoLwAAAP//AwBQSwECLQAUAAYACAAAACEAtoM4kv4AAADh&#10;AQAAEwAAAAAAAAAAAAAAAAAAAAAAW0NvbnRlbnRfVHlwZXNdLnhtbFBLAQItABQABgAIAAAAIQA4&#10;/SH/1gAAAJQBAAALAAAAAAAAAAAAAAAAAC8BAABfcmVscy8ucmVsc1BLAQItABQABgAIAAAAIQCT&#10;v0YPgQIAAA8FAAAOAAAAAAAAAAAAAAAAAC4CAABkcnMvZTJvRG9jLnhtbFBLAQItABQABgAIAAAA&#10;IQD2XLbY4gAAAAsBAAAPAAAAAAAAAAAAAAAAANsEAABkcnMvZG93bnJldi54bWxQSwUGAAAAAAQA&#10;BADzAAAA6gUAAAAA&#10;" stroked="f">
                      <v:textbox inset="6.75pt,3.75pt,6.75pt,3.75pt">
                        <w:txbxContent>
                          <w:p w:rsidR="006A2611" w:rsidRPr="00CD5FC0" w:rsidRDefault="006A2611" w:rsidP="006A2611">
                            <w:pPr>
                              <w:rPr>
                                <w:rFonts w:ascii="Arial Narrow" w:hAnsi="Arial Narrow" w:cs="Arial"/>
                                <w:b/>
                              </w:rPr>
                            </w:pPr>
                          </w:p>
                        </w:txbxContent>
                      </v:textbox>
                    </v:shape>
                  </w:pict>
                </mc:Fallback>
              </mc:AlternateContent>
            </w:r>
          </w:p>
        </w:tc>
        <w:tc>
          <w:tcPr>
            <w:tcW w:w="3600" w:type="dxa"/>
          </w:tcPr>
          <w:p w:rsidR="006A2611" w:rsidRDefault="006A2611" w:rsidP="009A5D32">
            <w:pPr>
              <w:rPr>
                <w:rFonts w:cs="Arial"/>
              </w:rPr>
            </w:pPr>
            <w:r>
              <w:rPr>
                <w:rFonts w:cs="Arial"/>
                <w:noProof/>
                <w:lang w:eastAsia="zh-CN"/>
              </w:rPr>
              <w:drawing>
                <wp:inline distT="0" distB="0" distL="0" distR="0" wp14:anchorId="09001EAC" wp14:editId="64A56D4C">
                  <wp:extent cx="2159000" cy="514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59000" cy="514350"/>
                          </a:xfrm>
                          <a:prstGeom prst="rect">
                            <a:avLst/>
                          </a:prstGeom>
                          <a:noFill/>
                          <a:ln w="9525">
                            <a:noFill/>
                            <a:miter lim="800000"/>
                            <a:headEnd/>
                            <a:tailEnd/>
                          </a:ln>
                        </pic:spPr>
                      </pic:pic>
                    </a:graphicData>
                  </a:graphic>
                </wp:inline>
              </w:drawing>
            </w:r>
          </w:p>
        </w:tc>
      </w:tr>
    </w:tbl>
    <w:p w:rsidR="006A2611" w:rsidRDefault="006A2611" w:rsidP="006A2611">
      <w:pPr>
        <w:rPr>
          <w:rFonts w:cs="Arial"/>
          <w:b/>
          <w:sz w:val="44"/>
        </w:rPr>
      </w:pPr>
      <w:r>
        <w:rPr>
          <w:rFonts w:cs="Arial"/>
          <w:b/>
          <w:sz w:val="44"/>
        </w:rPr>
        <w:t>Senate</w:t>
      </w:r>
    </w:p>
    <w:p w:rsidR="006A2611" w:rsidRDefault="006A2611" w:rsidP="006A2611">
      <w:pPr>
        <w:pStyle w:val="H3"/>
        <w:keepNext w:val="0"/>
        <w:tabs>
          <w:tab w:val="left" w:pos="1170"/>
        </w:tabs>
        <w:outlineLvl w:val="9"/>
        <w:rPr>
          <w:rFonts w:ascii="Arial" w:hAnsi="Arial" w:cs="Arial"/>
          <w:sz w:val="22"/>
          <w:szCs w:val="22"/>
        </w:rPr>
      </w:pPr>
      <w:bookmarkStart w:id="0" w:name="_GoBack"/>
      <w:bookmarkEnd w:id="0"/>
    </w:p>
    <w:p w:rsidR="006A2611" w:rsidRPr="00BC3127" w:rsidRDefault="006A2611" w:rsidP="006A2611">
      <w:pPr>
        <w:pStyle w:val="H3"/>
        <w:keepNext w:val="0"/>
        <w:tabs>
          <w:tab w:val="left" w:pos="1170"/>
        </w:tabs>
        <w:outlineLvl w:val="9"/>
        <w:rPr>
          <w:rFonts w:ascii="Arial" w:hAnsi="Arial" w:cs="Arial"/>
          <w:i/>
          <w:color w:val="FF0000"/>
          <w:sz w:val="24"/>
          <w:szCs w:val="24"/>
        </w:rPr>
      </w:pPr>
      <w:r w:rsidRPr="00BC3127">
        <w:rPr>
          <w:rFonts w:ascii="Arial" w:hAnsi="Arial" w:cs="Arial"/>
          <w:sz w:val="24"/>
          <w:szCs w:val="24"/>
        </w:rPr>
        <w:t>Subject:</w:t>
      </w:r>
      <w:r w:rsidRPr="00BC3127">
        <w:rPr>
          <w:rFonts w:ascii="Arial" w:hAnsi="Arial" w:cs="Arial"/>
          <w:sz w:val="24"/>
          <w:szCs w:val="24"/>
        </w:rPr>
        <w:tab/>
        <w:t xml:space="preserve">Savings &amp; Efficiencies </w:t>
      </w:r>
    </w:p>
    <w:p w:rsidR="006A2611" w:rsidRPr="00CA6D84" w:rsidRDefault="006A2611" w:rsidP="006A2611">
      <w:pPr>
        <w:tabs>
          <w:tab w:val="left" w:pos="1170"/>
        </w:tabs>
        <w:ind w:left="1170" w:hanging="1170"/>
        <w:outlineLvl w:val="0"/>
        <w:rPr>
          <w:rFonts w:eastAsia="Calibri" w:cs="Arial"/>
          <w:b/>
        </w:rPr>
      </w:pPr>
      <w:r w:rsidRPr="00CA6D84">
        <w:rPr>
          <w:rFonts w:eastAsia="Calibri" w:cs="Arial"/>
          <w:b/>
        </w:rPr>
        <w:t>Origin:</w:t>
      </w:r>
      <w:r w:rsidRPr="00CA6D84">
        <w:rPr>
          <w:rFonts w:cs="Arial"/>
          <w:b/>
        </w:rPr>
        <w:tab/>
      </w:r>
      <w:r>
        <w:rPr>
          <w:rFonts w:cs="Arial"/>
          <w:b/>
        </w:rPr>
        <w:t xml:space="preserve">Structure Implementation </w:t>
      </w:r>
    </w:p>
    <w:p w:rsidR="006A2611" w:rsidRPr="00CA6D84" w:rsidRDefault="006A2611" w:rsidP="006A2611">
      <w:pPr>
        <w:tabs>
          <w:tab w:val="left" w:pos="1170"/>
          <w:tab w:val="left" w:pos="8910"/>
        </w:tabs>
        <w:rPr>
          <w:rFonts w:cs="Arial"/>
          <w:b/>
          <w:u w:val="single"/>
        </w:rPr>
      </w:pPr>
      <w:r w:rsidRPr="00CA6D84">
        <w:rPr>
          <w:rFonts w:eastAsia="Calibri" w:cs="Arial"/>
          <w:b/>
          <w:u w:val="single"/>
        </w:rPr>
        <w:tab/>
      </w:r>
      <w:r w:rsidRPr="00CA6D84">
        <w:rPr>
          <w:rFonts w:eastAsia="Calibri" w:cs="Arial"/>
          <w:b/>
          <w:u w:val="single"/>
        </w:rPr>
        <w:tab/>
      </w:r>
    </w:p>
    <w:p w:rsidR="006A2611" w:rsidRPr="00CA6D84" w:rsidRDefault="006A2611" w:rsidP="006A2611">
      <w:pPr>
        <w:rPr>
          <w:rFonts w:cs="Arial"/>
          <w:b/>
        </w:rPr>
      </w:pPr>
    </w:p>
    <w:p w:rsidR="006A2611" w:rsidRPr="00CA6D84" w:rsidRDefault="006A2611" w:rsidP="005847E2">
      <w:pPr>
        <w:ind w:left="3060" w:hanging="3060"/>
        <w:rPr>
          <w:rFonts w:cs="Arial"/>
        </w:rPr>
      </w:pPr>
      <w:r w:rsidRPr="00CA6D84">
        <w:rPr>
          <w:rFonts w:cs="Arial"/>
          <w:b/>
        </w:rPr>
        <w:t>Executive Summary:</w:t>
      </w:r>
      <w:r w:rsidRPr="00CA6D84">
        <w:rPr>
          <w:rFonts w:cs="Arial"/>
        </w:rPr>
        <w:tab/>
      </w:r>
      <w:r w:rsidR="0028359E">
        <w:rPr>
          <w:rFonts w:cs="Arial"/>
        </w:rPr>
        <w:t xml:space="preserve">The paper provides a summary of the benefits and specific savings made as a result of re-structuring. </w:t>
      </w:r>
    </w:p>
    <w:p w:rsidR="006A2611" w:rsidRDefault="006A2611" w:rsidP="005847E2">
      <w:pPr>
        <w:ind w:left="3060" w:hanging="3060"/>
        <w:rPr>
          <w:rFonts w:cs="Arial"/>
        </w:rPr>
      </w:pPr>
      <w:r>
        <w:rPr>
          <w:rFonts w:cs="Arial"/>
          <w:b/>
        </w:rPr>
        <w:t>Senate</w:t>
      </w:r>
      <w:r w:rsidRPr="00CA6D84">
        <w:rPr>
          <w:rFonts w:cs="Arial"/>
          <w:b/>
        </w:rPr>
        <w:t xml:space="preserve"> Action Required:</w:t>
      </w:r>
      <w:r w:rsidRPr="00CA6D84">
        <w:rPr>
          <w:rFonts w:cs="Arial"/>
          <w:b/>
        </w:rPr>
        <w:tab/>
      </w:r>
      <w:r>
        <w:rPr>
          <w:rFonts w:cs="Arial"/>
        </w:rPr>
        <w:t>Senate</w:t>
      </w:r>
      <w:r w:rsidRPr="00CA6D84">
        <w:rPr>
          <w:rFonts w:cs="Arial"/>
        </w:rPr>
        <w:t xml:space="preserve"> is asked to</w:t>
      </w:r>
      <w:r>
        <w:rPr>
          <w:rFonts w:cs="Arial"/>
        </w:rPr>
        <w:t xml:space="preserve"> </w:t>
      </w:r>
      <w:r w:rsidR="0028359E">
        <w:rPr>
          <w:rFonts w:cs="Arial"/>
        </w:rPr>
        <w:t>RECEIVE</w:t>
      </w:r>
      <w:r>
        <w:rPr>
          <w:rFonts w:cs="Arial"/>
        </w:rPr>
        <w:t xml:space="preserve"> the </w:t>
      </w:r>
      <w:r w:rsidR="0028359E">
        <w:rPr>
          <w:rFonts w:cs="Arial"/>
        </w:rPr>
        <w:t xml:space="preserve">report on benefits and savings. </w:t>
      </w:r>
    </w:p>
    <w:p w:rsidR="006A2611" w:rsidRDefault="006A2611" w:rsidP="006A2611">
      <w:pPr>
        <w:tabs>
          <w:tab w:val="left" w:pos="1170"/>
          <w:tab w:val="left" w:pos="8910"/>
        </w:tabs>
        <w:rPr>
          <w:rFonts w:eastAsia="Calibri" w:cs="Arial"/>
          <w:b/>
          <w:u w:val="single"/>
        </w:rPr>
      </w:pPr>
      <w:r w:rsidRPr="00CA6D84">
        <w:rPr>
          <w:rFonts w:eastAsia="Calibri" w:cs="Arial"/>
          <w:b/>
          <w:u w:val="single"/>
        </w:rPr>
        <w:tab/>
      </w:r>
      <w:r w:rsidRPr="00CA6D84">
        <w:rPr>
          <w:rFonts w:eastAsia="Calibri" w:cs="Arial"/>
          <w:b/>
          <w:u w:val="single"/>
        </w:rPr>
        <w:tab/>
      </w:r>
    </w:p>
    <w:p w:rsidR="00F05C41" w:rsidRDefault="00F05C41" w:rsidP="006A2611">
      <w:pPr>
        <w:tabs>
          <w:tab w:val="left" w:pos="142"/>
          <w:tab w:val="left" w:pos="709"/>
        </w:tabs>
        <w:rPr>
          <w:rFonts w:cs="Arial"/>
          <w:b/>
        </w:rPr>
      </w:pPr>
    </w:p>
    <w:p w:rsidR="006A2611" w:rsidRPr="008F2886" w:rsidRDefault="006A2611" w:rsidP="006A2611">
      <w:pPr>
        <w:tabs>
          <w:tab w:val="left" w:pos="142"/>
          <w:tab w:val="left" w:pos="709"/>
        </w:tabs>
        <w:rPr>
          <w:rFonts w:cs="Arial"/>
        </w:rPr>
      </w:pPr>
      <w:r>
        <w:rPr>
          <w:rFonts w:cs="Arial"/>
          <w:b/>
        </w:rPr>
        <w:t>1.</w:t>
      </w:r>
      <w:r>
        <w:rPr>
          <w:rFonts w:cs="Arial"/>
          <w:b/>
        </w:rPr>
        <w:tab/>
        <w:t>Background</w:t>
      </w:r>
      <w:r w:rsidRPr="008F2886">
        <w:rPr>
          <w:rFonts w:cs="Arial"/>
          <w:b/>
        </w:rPr>
        <w:t xml:space="preserve"> </w:t>
      </w:r>
    </w:p>
    <w:p w:rsidR="006A2611" w:rsidRDefault="006A2611" w:rsidP="006A2611">
      <w:pPr>
        <w:tabs>
          <w:tab w:val="left" w:pos="0"/>
          <w:tab w:val="left" w:pos="9360"/>
        </w:tabs>
        <w:rPr>
          <w:rFonts w:cs="Arial"/>
        </w:rPr>
      </w:pPr>
      <w:r>
        <w:rPr>
          <w:rFonts w:cs="Arial"/>
        </w:rPr>
        <w:t>At its meeting in November 2010, Senate asked for a report on the specific savings and efficiencies arising from the re-structuring. In considering this issue, the PMB has reviewed the benefits which were included in the original recommendations on re-</w:t>
      </w:r>
      <w:proofErr w:type="gramStart"/>
      <w:r>
        <w:rPr>
          <w:rFonts w:cs="Arial"/>
        </w:rPr>
        <w:t>structuring</w:t>
      </w:r>
      <w:proofErr w:type="gramEnd"/>
      <w:r>
        <w:rPr>
          <w:rFonts w:cs="Arial"/>
        </w:rPr>
        <w:t xml:space="preserve"> accepted by Senate in July 2010. A summary report on the benefits and specific savings that have been achieved is given below.</w:t>
      </w:r>
    </w:p>
    <w:p w:rsidR="000472C2" w:rsidRDefault="000472C2"/>
    <w:p w:rsidR="004B5970" w:rsidRDefault="004B5970">
      <w:r>
        <w:t>Examples to illustrate the benefits, mostly provided by the Operations Managers, are shown as italicised bullet points in the Comments columns.</w:t>
      </w:r>
    </w:p>
    <w:p w:rsidR="004B5970" w:rsidRDefault="004B5970"/>
    <w:p w:rsidR="001A7AB7" w:rsidRPr="006A2611" w:rsidRDefault="006A2611" w:rsidP="001A7AB7">
      <w:pPr>
        <w:pStyle w:val="Heading2"/>
        <w:rPr>
          <w:i w:val="0"/>
          <w:sz w:val="24"/>
          <w:szCs w:val="24"/>
        </w:rPr>
      </w:pPr>
      <w:r>
        <w:rPr>
          <w:i w:val="0"/>
          <w:sz w:val="24"/>
          <w:szCs w:val="24"/>
        </w:rPr>
        <w:t>2.</w:t>
      </w:r>
      <w:r>
        <w:rPr>
          <w:i w:val="0"/>
          <w:sz w:val="24"/>
          <w:szCs w:val="24"/>
        </w:rPr>
        <w:tab/>
      </w:r>
      <w:r w:rsidR="001A7AB7" w:rsidRPr="006A2611">
        <w:rPr>
          <w:i w:val="0"/>
          <w:sz w:val="24"/>
          <w:szCs w:val="24"/>
        </w:rPr>
        <w:t>Anticipated Benefits</w:t>
      </w:r>
      <w:r w:rsidR="00E32204" w:rsidRPr="006A2611">
        <w:rPr>
          <w:i w:val="0"/>
          <w:sz w:val="24"/>
          <w:szCs w:val="24"/>
        </w:rPr>
        <w:t xml:space="preserve"> and Comments</w:t>
      </w:r>
    </w:p>
    <w:p w:rsidR="00AA73F0" w:rsidRDefault="00AA73F0" w:rsidP="00E32204">
      <w:r>
        <w:t>The benefits listed here are taken from SEN1</w:t>
      </w:r>
      <w:r w:rsidR="008E234F">
        <w:t>0-P42a (June 2010</w:t>
      </w:r>
      <w:r>
        <w:t>).</w:t>
      </w:r>
    </w:p>
    <w:p w:rsidR="00AA73F0" w:rsidRPr="00E32204" w:rsidRDefault="00AA73F0" w:rsidP="00E32204"/>
    <w:tbl>
      <w:tblPr>
        <w:tblStyle w:val="TableGrid"/>
        <w:tblW w:w="0" w:type="auto"/>
        <w:tblInd w:w="18" w:type="dxa"/>
        <w:tblLook w:val="04A0" w:firstRow="1" w:lastRow="0" w:firstColumn="1" w:lastColumn="0" w:noHBand="0" w:noVBand="1"/>
      </w:tblPr>
      <w:tblGrid>
        <w:gridCol w:w="361"/>
        <w:gridCol w:w="4756"/>
        <w:gridCol w:w="4467"/>
      </w:tblGrid>
      <w:tr w:rsidR="00F1498E" w:rsidRPr="00E32204" w:rsidTr="001A62A3">
        <w:tc>
          <w:tcPr>
            <w:tcW w:w="0" w:type="auto"/>
            <w:shd w:val="clear" w:color="auto" w:fill="D9D9D9" w:themeFill="background1" w:themeFillShade="D9"/>
          </w:tcPr>
          <w:p w:rsidR="008359BD" w:rsidRDefault="008359BD" w:rsidP="00D31CF9">
            <w:pPr>
              <w:pStyle w:val="Heading3"/>
              <w:spacing w:after="0"/>
              <w:jc w:val="center"/>
            </w:pPr>
            <w:r>
              <w:t>#</w:t>
            </w:r>
          </w:p>
        </w:tc>
        <w:tc>
          <w:tcPr>
            <w:tcW w:w="0" w:type="auto"/>
            <w:shd w:val="clear" w:color="auto" w:fill="D9D9D9" w:themeFill="background1" w:themeFillShade="D9"/>
          </w:tcPr>
          <w:p w:rsidR="008359BD" w:rsidRPr="00E32204" w:rsidRDefault="008359BD" w:rsidP="00BE1BCD">
            <w:pPr>
              <w:pStyle w:val="Heading3"/>
              <w:spacing w:after="0"/>
            </w:pPr>
            <w:bookmarkStart w:id="1" w:name="OLE_LINK1"/>
            <w:bookmarkStart w:id="2" w:name="OLE_LINK2"/>
            <w:r>
              <w:t>Benefit</w:t>
            </w:r>
          </w:p>
        </w:tc>
        <w:tc>
          <w:tcPr>
            <w:tcW w:w="0" w:type="auto"/>
            <w:shd w:val="clear" w:color="auto" w:fill="D9D9D9" w:themeFill="background1" w:themeFillShade="D9"/>
          </w:tcPr>
          <w:p w:rsidR="008359BD" w:rsidRPr="00E32204" w:rsidRDefault="008359BD" w:rsidP="00BE1BCD">
            <w:pPr>
              <w:pStyle w:val="Heading3"/>
              <w:spacing w:after="0"/>
            </w:pPr>
            <w:r>
              <w:t>Comment</w:t>
            </w:r>
            <w:r w:rsidR="004B5970">
              <w:t>s</w:t>
            </w:r>
          </w:p>
        </w:tc>
      </w:tr>
      <w:tr w:rsidR="00F1498E" w:rsidRPr="008359BD" w:rsidTr="001A62A3">
        <w:tc>
          <w:tcPr>
            <w:tcW w:w="0" w:type="auto"/>
          </w:tcPr>
          <w:p w:rsidR="008359BD" w:rsidRPr="008359BD" w:rsidRDefault="008359BD" w:rsidP="00D31CF9">
            <w:pPr>
              <w:jc w:val="right"/>
              <w:rPr>
                <w:sz w:val="22"/>
                <w:szCs w:val="22"/>
              </w:rPr>
            </w:pPr>
            <w:r w:rsidRPr="008359BD">
              <w:rPr>
                <w:sz w:val="22"/>
                <w:szCs w:val="22"/>
              </w:rPr>
              <w:t>1</w:t>
            </w:r>
          </w:p>
        </w:tc>
        <w:bookmarkEnd w:id="1"/>
        <w:bookmarkEnd w:id="2"/>
        <w:tc>
          <w:tcPr>
            <w:tcW w:w="0" w:type="auto"/>
          </w:tcPr>
          <w:p w:rsidR="008359BD" w:rsidRPr="008359BD" w:rsidRDefault="008359BD" w:rsidP="00BE1BCD">
            <w:pPr>
              <w:rPr>
                <w:sz w:val="22"/>
                <w:szCs w:val="22"/>
              </w:rPr>
            </w:pPr>
            <w:r w:rsidRPr="008359BD">
              <w:rPr>
                <w:sz w:val="22"/>
                <w:szCs w:val="22"/>
              </w:rPr>
              <w:t>A greater ability to share facilities and support will lead to significant long-term savings. How this is achieved and what the precise savings will be will be largely driven by local management decisions within Schools.</w:t>
            </w:r>
          </w:p>
        </w:tc>
        <w:tc>
          <w:tcPr>
            <w:tcW w:w="0" w:type="auto"/>
          </w:tcPr>
          <w:p w:rsidR="008359BD" w:rsidRDefault="008359BD" w:rsidP="00BE1BCD">
            <w:pPr>
              <w:rPr>
                <w:sz w:val="22"/>
                <w:szCs w:val="22"/>
              </w:rPr>
            </w:pPr>
            <w:r w:rsidRPr="008359BD">
              <w:rPr>
                <w:sz w:val="22"/>
                <w:szCs w:val="22"/>
              </w:rPr>
              <w:t>Schools are already beginning to investigate such savings.</w:t>
            </w:r>
          </w:p>
          <w:p w:rsidR="007D14E3" w:rsidRPr="005847E2" w:rsidRDefault="00CD517C" w:rsidP="005847E2">
            <w:pPr>
              <w:pStyle w:val="Cellbullets"/>
            </w:pPr>
            <w:r w:rsidRPr="005847E2">
              <w:t>D</w:t>
            </w:r>
            <w:r w:rsidR="007D14E3" w:rsidRPr="005847E2">
              <w:t>eveloping shared space for Research Students / Staff will increase</w:t>
            </w:r>
            <w:r w:rsidRPr="005847E2">
              <w:t xml:space="preserve"> the</w:t>
            </w:r>
            <w:r w:rsidR="007D14E3" w:rsidRPr="005847E2">
              <w:t xml:space="preserve"> </w:t>
            </w:r>
            <w:proofErr w:type="spellStart"/>
            <w:r w:rsidR="007D14E3" w:rsidRPr="005847E2">
              <w:t>utilisation</w:t>
            </w:r>
            <w:proofErr w:type="spellEnd"/>
            <w:r w:rsidR="007D14E3" w:rsidRPr="005847E2">
              <w:t xml:space="preserve"> rates of facilities</w:t>
            </w:r>
            <w:r w:rsidRPr="005847E2">
              <w:t xml:space="preserve"> within the school</w:t>
            </w:r>
            <w:r w:rsidR="007D14E3" w:rsidRPr="005847E2">
              <w:t>.</w:t>
            </w:r>
          </w:p>
        </w:tc>
      </w:tr>
      <w:tr w:rsidR="00F1498E" w:rsidRPr="008359BD" w:rsidTr="001A62A3">
        <w:tc>
          <w:tcPr>
            <w:tcW w:w="0" w:type="auto"/>
          </w:tcPr>
          <w:p w:rsidR="008359BD" w:rsidRPr="008359BD" w:rsidRDefault="008359BD" w:rsidP="00D31CF9">
            <w:pPr>
              <w:jc w:val="right"/>
              <w:rPr>
                <w:sz w:val="22"/>
                <w:szCs w:val="22"/>
              </w:rPr>
            </w:pPr>
            <w:r w:rsidRPr="008359BD">
              <w:rPr>
                <w:sz w:val="22"/>
                <w:szCs w:val="22"/>
              </w:rPr>
              <w:t>2</w:t>
            </w:r>
          </w:p>
        </w:tc>
        <w:tc>
          <w:tcPr>
            <w:tcW w:w="0" w:type="auto"/>
          </w:tcPr>
          <w:p w:rsidR="008359BD" w:rsidRPr="008359BD" w:rsidRDefault="008359BD" w:rsidP="00BE1BCD">
            <w:pPr>
              <w:rPr>
                <w:sz w:val="22"/>
                <w:szCs w:val="22"/>
              </w:rPr>
            </w:pPr>
            <w:r w:rsidRPr="008359BD">
              <w:rPr>
                <w:sz w:val="22"/>
                <w:szCs w:val="22"/>
              </w:rPr>
              <w:t>Larger cost centres will have a greater ability to be able to cope collectively with the work pressures on individual component parts. (This is the experience of Central Support Services which have been engaged in a move to larger cost centres in recent years).</w:t>
            </w:r>
          </w:p>
        </w:tc>
        <w:tc>
          <w:tcPr>
            <w:tcW w:w="0" w:type="auto"/>
          </w:tcPr>
          <w:p w:rsidR="008359BD" w:rsidRDefault="008359BD" w:rsidP="00BE1BCD">
            <w:pPr>
              <w:rPr>
                <w:sz w:val="22"/>
                <w:szCs w:val="22"/>
              </w:rPr>
            </w:pPr>
            <w:r w:rsidRPr="008359BD">
              <w:rPr>
                <w:sz w:val="22"/>
                <w:szCs w:val="22"/>
              </w:rPr>
              <w:t>The proper comparison is not between the future after restructuring and the current situation. Rather it should be with the future without restructuring.</w:t>
            </w:r>
          </w:p>
          <w:p w:rsidR="007D14E3" w:rsidRPr="00CD517C" w:rsidRDefault="00CD517C" w:rsidP="005847E2">
            <w:pPr>
              <w:pStyle w:val="Cellbullets"/>
            </w:pPr>
            <w:r w:rsidRPr="00CD517C">
              <w:t xml:space="preserve">Setting up working groups to identify best practice and </w:t>
            </w:r>
            <w:proofErr w:type="spellStart"/>
            <w:r w:rsidRPr="00CD517C">
              <w:t>maximise</w:t>
            </w:r>
            <w:proofErr w:type="spellEnd"/>
            <w:r w:rsidRPr="00CD517C">
              <w:t xml:space="preserve"> efficiency across all functions. More importantly, this will allow individuals in one department to cover for other departments as necessary, thus reducing the single point of failure.</w:t>
            </w:r>
          </w:p>
        </w:tc>
      </w:tr>
      <w:tr w:rsidR="00F1498E" w:rsidRPr="008359BD" w:rsidTr="001A62A3">
        <w:tc>
          <w:tcPr>
            <w:tcW w:w="0" w:type="auto"/>
          </w:tcPr>
          <w:p w:rsidR="008359BD" w:rsidRPr="008359BD" w:rsidRDefault="008359BD" w:rsidP="001A62A3">
            <w:pPr>
              <w:keepLines/>
              <w:jc w:val="right"/>
              <w:rPr>
                <w:sz w:val="22"/>
                <w:szCs w:val="22"/>
              </w:rPr>
            </w:pPr>
            <w:r w:rsidRPr="008359BD">
              <w:rPr>
                <w:sz w:val="22"/>
                <w:szCs w:val="22"/>
              </w:rPr>
              <w:t>3</w:t>
            </w:r>
          </w:p>
        </w:tc>
        <w:tc>
          <w:tcPr>
            <w:tcW w:w="0" w:type="auto"/>
          </w:tcPr>
          <w:p w:rsidR="008359BD" w:rsidRPr="008359BD" w:rsidRDefault="008359BD" w:rsidP="001A62A3">
            <w:pPr>
              <w:keepLines/>
              <w:rPr>
                <w:sz w:val="22"/>
                <w:szCs w:val="22"/>
              </w:rPr>
            </w:pPr>
            <w:r w:rsidRPr="008359BD">
              <w:rPr>
                <w:sz w:val="22"/>
                <w:szCs w:val="22"/>
              </w:rPr>
              <w:t xml:space="preserve">As a consequence, the new structure will be more resilient in the face of significant public </w:t>
            </w:r>
            <w:r w:rsidRPr="008359BD">
              <w:rPr>
                <w:sz w:val="22"/>
                <w:szCs w:val="22"/>
              </w:rPr>
              <w:lastRenderedPageBreak/>
              <w:t>spending cuts. These arguments are elaborated on in Annex F.</w:t>
            </w:r>
          </w:p>
        </w:tc>
        <w:tc>
          <w:tcPr>
            <w:tcW w:w="0" w:type="auto"/>
          </w:tcPr>
          <w:p w:rsidR="008359BD" w:rsidRDefault="008359BD" w:rsidP="001A62A3">
            <w:pPr>
              <w:keepNext/>
              <w:rPr>
                <w:sz w:val="22"/>
                <w:szCs w:val="22"/>
              </w:rPr>
            </w:pPr>
            <w:r w:rsidRPr="008359BD">
              <w:rPr>
                <w:sz w:val="22"/>
                <w:szCs w:val="22"/>
              </w:rPr>
              <w:lastRenderedPageBreak/>
              <w:t xml:space="preserve">OMs and SWT are more aware than hitherto of the dangers of single points of </w:t>
            </w:r>
            <w:r w:rsidRPr="008359BD">
              <w:rPr>
                <w:sz w:val="22"/>
                <w:szCs w:val="22"/>
              </w:rPr>
              <w:lastRenderedPageBreak/>
              <w:t>failure and are taking account of this in their work on administrative structures.</w:t>
            </w:r>
            <w:r w:rsidR="005847E2">
              <w:rPr>
                <w:sz w:val="22"/>
                <w:szCs w:val="22"/>
              </w:rPr>
              <w:br/>
            </w:r>
          </w:p>
          <w:p w:rsidR="007D14E3" w:rsidRPr="00CD517C" w:rsidRDefault="00CD517C" w:rsidP="005847E2">
            <w:pPr>
              <w:pStyle w:val="Cellbullets"/>
            </w:pPr>
            <w:r w:rsidRPr="00CD517C">
              <w:t>I</w:t>
            </w:r>
            <w:r w:rsidR="007D14E3" w:rsidRPr="00CD517C">
              <w:t>n terms of savings, it is easier to find 1FTE equivalent saving across a School than it is to find 1/3 FTE savings in each of three departments.</w:t>
            </w:r>
          </w:p>
        </w:tc>
      </w:tr>
      <w:tr w:rsidR="00F1498E" w:rsidRPr="008359BD" w:rsidTr="001A62A3">
        <w:tc>
          <w:tcPr>
            <w:tcW w:w="0" w:type="auto"/>
          </w:tcPr>
          <w:p w:rsidR="008359BD" w:rsidRPr="008359BD" w:rsidRDefault="008359BD" w:rsidP="00D31CF9">
            <w:pPr>
              <w:jc w:val="right"/>
              <w:rPr>
                <w:sz w:val="22"/>
                <w:szCs w:val="22"/>
              </w:rPr>
            </w:pPr>
            <w:r w:rsidRPr="008359BD">
              <w:rPr>
                <w:sz w:val="22"/>
                <w:szCs w:val="22"/>
              </w:rPr>
              <w:lastRenderedPageBreak/>
              <w:t>4</w:t>
            </w:r>
          </w:p>
        </w:tc>
        <w:tc>
          <w:tcPr>
            <w:tcW w:w="0" w:type="auto"/>
          </w:tcPr>
          <w:p w:rsidR="008359BD" w:rsidRPr="008359BD" w:rsidRDefault="008359BD" w:rsidP="00BE1BCD">
            <w:pPr>
              <w:rPr>
                <w:sz w:val="22"/>
                <w:szCs w:val="22"/>
              </w:rPr>
            </w:pPr>
            <w:r w:rsidRPr="008359BD">
              <w:rPr>
                <w:sz w:val="22"/>
                <w:szCs w:val="22"/>
              </w:rPr>
              <w:t>The new structure puts academic leadership at the heart of decision making within the University.</w:t>
            </w:r>
          </w:p>
        </w:tc>
        <w:tc>
          <w:tcPr>
            <w:tcW w:w="0" w:type="auto"/>
          </w:tcPr>
          <w:p w:rsidR="008359BD" w:rsidRPr="008359BD" w:rsidRDefault="008359BD" w:rsidP="006663D0">
            <w:r w:rsidRPr="008359BD">
              <w:t xml:space="preserve">The structure of ALT will mean that advice to the VC will be </w:t>
            </w:r>
            <w:r w:rsidR="000472C2" w:rsidRPr="006663D0">
              <w:rPr>
                <w:bCs/>
              </w:rPr>
              <w:t>closer to academic delivery</w:t>
            </w:r>
            <w:r w:rsidR="006663D0">
              <w:rPr>
                <w:bCs/>
              </w:rPr>
              <w:t>.</w:t>
            </w:r>
          </w:p>
          <w:p w:rsidR="008359BD" w:rsidRPr="008359BD" w:rsidRDefault="008359BD" w:rsidP="006663D0">
            <w:r w:rsidRPr="008359BD">
              <w:t>The same is true for the PVCs.</w:t>
            </w:r>
          </w:p>
        </w:tc>
      </w:tr>
      <w:tr w:rsidR="00F1498E" w:rsidRPr="008359BD" w:rsidTr="001A62A3">
        <w:tc>
          <w:tcPr>
            <w:tcW w:w="0" w:type="auto"/>
          </w:tcPr>
          <w:p w:rsidR="008359BD" w:rsidRPr="008359BD" w:rsidRDefault="008359BD" w:rsidP="00D31CF9">
            <w:pPr>
              <w:jc w:val="right"/>
              <w:rPr>
                <w:sz w:val="22"/>
                <w:szCs w:val="22"/>
              </w:rPr>
            </w:pPr>
            <w:r w:rsidRPr="008359BD">
              <w:rPr>
                <w:sz w:val="22"/>
                <w:szCs w:val="22"/>
              </w:rPr>
              <w:t>5</w:t>
            </w:r>
          </w:p>
        </w:tc>
        <w:tc>
          <w:tcPr>
            <w:tcW w:w="0" w:type="auto"/>
          </w:tcPr>
          <w:p w:rsidR="008359BD" w:rsidRPr="008359BD" w:rsidRDefault="008359BD" w:rsidP="00BE1BCD">
            <w:pPr>
              <w:rPr>
                <w:sz w:val="22"/>
                <w:szCs w:val="22"/>
              </w:rPr>
            </w:pPr>
            <w:r w:rsidRPr="008359BD">
              <w:rPr>
                <w:sz w:val="22"/>
                <w:szCs w:val="22"/>
              </w:rPr>
              <w:t>There will be a saving of over £600k p.a. as a result of stripping out a layer of management. Details are in Annex E. It should be noted that we have assumed that the majority of Faculty functions will continue in the new structure (the total of budgets currently held at Faculty level is £2.8M). It is accepted that this saving will be partly offset by some temporary additional costs.</w:t>
            </w:r>
          </w:p>
        </w:tc>
        <w:tc>
          <w:tcPr>
            <w:tcW w:w="0" w:type="auto"/>
          </w:tcPr>
          <w:p w:rsidR="006109BE" w:rsidRDefault="006109BE" w:rsidP="00BA13CD">
            <w:pPr>
              <w:rPr>
                <w:sz w:val="22"/>
                <w:szCs w:val="22"/>
              </w:rPr>
            </w:pPr>
            <w:r>
              <w:rPr>
                <w:sz w:val="22"/>
                <w:szCs w:val="22"/>
              </w:rPr>
              <w:t xml:space="preserve">The savings identified in the original paper to Senate would be in addition to the normal silver scenario savings. The progress that has been made is outlined below. </w:t>
            </w:r>
          </w:p>
          <w:p w:rsidR="00C50AFE" w:rsidRPr="00C50AFE" w:rsidRDefault="00C50AFE" w:rsidP="005847E2">
            <w:pPr>
              <w:tabs>
                <w:tab w:val="right" w:pos="4150"/>
              </w:tabs>
              <w:rPr>
                <w:sz w:val="22"/>
                <w:szCs w:val="22"/>
              </w:rPr>
            </w:pPr>
            <w:r w:rsidRPr="00C50AFE">
              <w:rPr>
                <w:sz w:val="22"/>
                <w:szCs w:val="22"/>
              </w:rPr>
              <w:t>Original Savings identified</w:t>
            </w:r>
            <w:r w:rsidR="00F1498E">
              <w:rPr>
                <w:sz w:val="22"/>
                <w:szCs w:val="22"/>
              </w:rPr>
              <w:t>:</w:t>
            </w:r>
            <w:r w:rsidR="005847E2">
              <w:rPr>
                <w:sz w:val="22"/>
                <w:szCs w:val="22"/>
              </w:rPr>
              <w:tab/>
            </w:r>
            <w:r w:rsidR="00D71695">
              <w:rPr>
                <w:sz w:val="22"/>
                <w:szCs w:val="22"/>
              </w:rPr>
              <w:t>£646</w:t>
            </w:r>
            <w:r w:rsidR="006109BE">
              <w:rPr>
                <w:sz w:val="22"/>
                <w:szCs w:val="22"/>
              </w:rPr>
              <w:t>k</w:t>
            </w:r>
          </w:p>
          <w:p w:rsidR="00C50AFE" w:rsidRPr="00C50AFE" w:rsidRDefault="005847E2" w:rsidP="005847E2">
            <w:pPr>
              <w:tabs>
                <w:tab w:val="right" w:pos="4150"/>
              </w:tabs>
              <w:rPr>
                <w:sz w:val="22"/>
                <w:szCs w:val="22"/>
              </w:rPr>
            </w:pPr>
            <w:r>
              <w:rPr>
                <w:sz w:val="22"/>
                <w:szCs w:val="22"/>
              </w:rPr>
              <w:t>Savings Achieved 2011/12:</w:t>
            </w:r>
            <w:r>
              <w:rPr>
                <w:sz w:val="22"/>
                <w:szCs w:val="22"/>
              </w:rPr>
              <w:tab/>
            </w:r>
            <w:r w:rsidR="00C50AFE" w:rsidRPr="00C50AFE">
              <w:rPr>
                <w:sz w:val="22"/>
                <w:szCs w:val="22"/>
              </w:rPr>
              <w:t>£217</w:t>
            </w:r>
            <w:r w:rsidR="006109BE">
              <w:rPr>
                <w:sz w:val="22"/>
                <w:szCs w:val="22"/>
              </w:rPr>
              <w:t>k</w:t>
            </w:r>
            <w:r w:rsidR="00C50AFE" w:rsidRPr="00C50AFE">
              <w:rPr>
                <w:sz w:val="22"/>
                <w:szCs w:val="22"/>
              </w:rPr>
              <w:t xml:space="preserve"> </w:t>
            </w:r>
          </w:p>
          <w:p w:rsidR="00C50AFE" w:rsidRPr="00C50AFE" w:rsidRDefault="005847E2" w:rsidP="005847E2">
            <w:pPr>
              <w:tabs>
                <w:tab w:val="right" w:pos="4150"/>
              </w:tabs>
              <w:rPr>
                <w:sz w:val="22"/>
                <w:szCs w:val="22"/>
              </w:rPr>
            </w:pPr>
            <w:r>
              <w:rPr>
                <w:sz w:val="22"/>
                <w:szCs w:val="22"/>
              </w:rPr>
              <w:t>Balance to be achieved:</w:t>
            </w:r>
            <w:r>
              <w:rPr>
                <w:sz w:val="22"/>
                <w:szCs w:val="22"/>
              </w:rPr>
              <w:tab/>
            </w:r>
            <w:r w:rsidR="00C50AFE" w:rsidRPr="00C50AFE">
              <w:rPr>
                <w:sz w:val="22"/>
                <w:szCs w:val="22"/>
              </w:rPr>
              <w:t>£429</w:t>
            </w:r>
            <w:r w:rsidR="006109BE">
              <w:rPr>
                <w:sz w:val="22"/>
                <w:szCs w:val="22"/>
              </w:rPr>
              <w:t>k</w:t>
            </w:r>
            <w:r w:rsidR="00C50AFE" w:rsidRPr="00C50AFE">
              <w:rPr>
                <w:sz w:val="22"/>
                <w:szCs w:val="22"/>
              </w:rPr>
              <w:t xml:space="preserve"> </w:t>
            </w:r>
          </w:p>
          <w:p w:rsidR="00C50AFE" w:rsidRPr="00C50AFE" w:rsidRDefault="00C50AFE" w:rsidP="005847E2">
            <w:pPr>
              <w:tabs>
                <w:tab w:val="right" w:pos="4150"/>
              </w:tabs>
              <w:rPr>
                <w:sz w:val="22"/>
                <w:szCs w:val="22"/>
              </w:rPr>
            </w:pPr>
            <w:r w:rsidRPr="00C50AFE">
              <w:rPr>
                <w:sz w:val="22"/>
                <w:szCs w:val="22"/>
              </w:rPr>
              <w:t>Temp additional costs (Ops Mans)</w:t>
            </w:r>
            <w:r w:rsidR="005847E2">
              <w:rPr>
                <w:sz w:val="22"/>
                <w:szCs w:val="22"/>
              </w:rPr>
              <w:t>:</w:t>
            </w:r>
            <w:r w:rsidR="005847E2">
              <w:rPr>
                <w:sz w:val="22"/>
                <w:szCs w:val="22"/>
              </w:rPr>
              <w:tab/>
            </w:r>
            <w:r w:rsidRPr="00C50AFE">
              <w:rPr>
                <w:sz w:val="22"/>
                <w:szCs w:val="22"/>
              </w:rPr>
              <w:t>£303</w:t>
            </w:r>
            <w:r w:rsidR="006109BE">
              <w:rPr>
                <w:sz w:val="22"/>
                <w:szCs w:val="22"/>
              </w:rPr>
              <w:t>k</w:t>
            </w:r>
            <w:r w:rsidRPr="00C50AFE">
              <w:rPr>
                <w:sz w:val="22"/>
                <w:szCs w:val="22"/>
              </w:rPr>
              <w:t xml:space="preserve"> </w:t>
            </w:r>
          </w:p>
          <w:p w:rsidR="007D14E3" w:rsidRDefault="00C50AFE" w:rsidP="005847E2">
            <w:pPr>
              <w:tabs>
                <w:tab w:val="right" w:pos="4150"/>
              </w:tabs>
              <w:rPr>
                <w:sz w:val="22"/>
                <w:szCs w:val="22"/>
              </w:rPr>
            </w:pPr>
            <w:r w:rsidRPr="00C50AFE">
              <w:rPr>
                <w:sz w:val="22"/>
                <w:szCs w:val="22"/>
              </w:rPr>
              <w:t xml:space="preserve">Savings </w:t>
            </w:r>
            <w:r w:rsidR="00DF2D0C">
              <w:rPr>
                <w:sz w:val="22"/>
                <w:szCs w:val="22"/>
              </w:rPr>
              <w:t>budgeted for</w:t>
            </w:r>
            <w:r w:rsidRPr="00C50AFE">
              <w:rPr>
                <w:sz w:val="22"/>
                <w:szCs w:val="22"/>
              </w:rPr>
              <w:t xml:space="preserve"> 2012/13</w:t>
            </w:r>
            <w:r w:rsidR="005847E2">
              <w:rPr>
                <w:sz w:val="22"/>
                <w:szCs w:val="22"/>
              </w:rPr>
              <w:t>:</w:t>
            </w:r>
            <w:r w:rsidR="005847E2">
              <w:rPr>
                <w:sz w:val="22"/>
                <w:szCs w:val="22"/>
              </w:rPr>
              <w:tab/>
            </w:r>
            <w:r w:rsidRPr="00C50AFE">
              <w:rPr>
                <w:sz w:val="22"/>
                <w:szCs w:val="22"/>
              </w:rPr>
              <w:t>£732</w:t>
            </w:r>
            <w:r w:rsidR="006109BE">
              <w:rPr>
                <w:sz w:val="22"/>
                <w:szCs w:val="22"/>
              </w:rPr>
              <w:t>k</w:t>
            </w:r>
          </w:p>
          <w:p w:rsidR="006109BE" w:rsidRDefault="006109BE" w:rsidP="00BA13CD">
            <w:pPr>
              <w:rPr>
                <w:sz w:val="22"/>
                <w:szCs w:val="22"/>
              </w:rPr>
            </w:pPr>
          </w:p>
          <w:p w:rsidR="00C50AFE" w:rsidRDefault="006109BE" w:rsidP="00BA13CD">
            <w:pPr>
              <w:rPr>
                <w:sz w:val="22"/>
                <w:szCs w:val="22"/>
              </w:rPr>
            </w:pPr>
            <w:r>
              <w:rPr>
                <w:sz w:val="22"/>
                <w:szCs w:val="22"/>
              </w:rPr>
              <w:t>The outstanding savings of £</w:t>
            </w:r>
            <w:r w:rsidR="00396784">
              <w:rPr>
                <w:sz w:val="22"/>
                <w:szCs w:val="22"/>
              </w:rPr>
              <w:t xml:space="preserve">732k </w:t>
            </w:r>
            <w:r>
              <w:rPr>
                <w:sz w:val="22"/>
                <w:szCs w:val="22"/>
              </w:rPr>
              <w:t>have been built into the budget from 2012/13 onwards.</w:t>
            </w:r>
          </w:p>
          <w:p w:rsidR="00C50AFE" w:rsidRDefault="00C50AFE" w:rsidP="00BA13CD">
            <w:pPr>
              <w:rPr>
                <w:sz w:val="22"/>
                <w:szCs w:val="22"/>
              </w:rPr>
            </w:pPr>
            <w:r>
              <w:rPr>
                <w:sz w:val="22"/>
                <w:szCs w:val="22"/>
              </w:rPr>
              <w:t>Other Savings identified</w:t>
            </w:r>
            <w:r w:rsidR="00F05C41">
              <w:rPr>
                <w:sz w:val="22"/>
                <w:szCs w:val="22"/>
              </w:rPr>
              <w:t xml:space="preserve"> not included above</w:t>
            </w:r>
            <w:r>
              <w:rPr>
                <w:sz w:val="22"/>
                <w:szCs w:val="22"/>
              </w:rPr>
              <w:t>:</w:t>
            </w:r>
          </w:p>
          <w:p w:rsidR="00C50AFE" w:rsidRPr="00527362" w:rsidRDefault="007D14E3" w:rsidP="005847E2">
            <w:pPr>
              <w:pStyle w:val="Cellbullets"/>
              <w:rPr>
                <w:caps/>
              </w:rPr>
            </w:pPr>
            <w:r w:rsidRPr="00527362">
              <w:t>Creation of School Technical Superintendent. This role</w:t>
            </w:r>
            <w:r w:rsidR="00CD517C" w:rsidRPr="00527362">
              <w:t xml:space="preserve"> has</w:t>
            </w:r>
            <w:r w:rsidRPr="00527362">
              <w:t xml:space="preserve"> replaced two departmental superintend</w:t>
            </w:r>
            <w:r w:rsidR="00396784">
              <w:t>e</w:t>
            </w:r>
            <w:r w:rsidRPr="00527362">
              <w:t>nts, providin</w:t>
            </w:r>
            <w:r w:rsidR="00C50AFE" w:rsidRPr="00527362">
              <w:t>g salary savings of about £16k.</w:t>
            </w:r>
          </w:p>
          <w:p w:rsidR="007D14E3" w:rsidRPr="00DF2D0C" w:rsidRDefault="00C50AFE" w:rsidP="005847E2">
            <w:pPr>
              <w:pStyle w:val="Cellbullets"/>
              <w:rPr>
                <w:caps/>
              </w:rPr>
            </w:pPr>
            <w:r w:rsidRPr="00527362">
              <w:t>Move to internal advertisements has saved £27K in 2010/11</w:t>
            </w:r>
            <w:r w:rsidRPr="006109BE">
              <w:t xml:space="preserve"> </w:t>
            </w:r>
          </w:p>
        </w:tc>
      </w:tr>
      <w:tr w:rsidR="00F1498E" w:rsidRPr="008359BD" w:rsidTr="001A62A3">
        <w:tc>
          <w:tcPr>
            <w:tcW w:w="0" w:type="auto"/>
          </w:tcPr>
          <w:p w:rsidR="008359BD" w:rsidRPr="008359BD" w:rsidRDefault="008359BD" w:rsidP="00D31CF9">
            <w:pPr>
              <w:jc w:val="right"/>
              <w:rPr>
                <w:sz w:val="22"/>
                <w:szCs w:val="22"/>
              </w:rPr>
            </w:pPr>
            <w:r w:rsidRPr="008359BD">
              <w:rPr>
                <w:sz w:val="22"/>
                <w:szCs w:val="22"/>
              </w:rPr>
              <w:t>6</w:t>
            </w:r>
          </w:p>
        </w:tc>
        <w:tc>
          <w:tcPr>
            <w:tcW w:w="0" w:type="auto"/>
          </w:tcPr>
          <w:p w:rsidR="008359BD" w:rsidRPr="008359BD" w:rsidRDefault="008359BD" w:rsidP="00BE1BCD">
            <w:pPr>
              <w:rPr>
                <w:sz w:val="22"/>
                <w:szCs w:val="22"/>
              </w:rPr>
            </w:pPr>
            <w:r w:rsidRPr="008359BD">
              <w:rPr>
                <w:sz w:val="22"/>
                <w:szCs w:val="22"/>
              </w:rPr>
              <w:t>A smaller number of cost centres should enable Central Support Services to work more efficiently and effectively with academic departments and we would expect this to lead to savings in the medium term.</w:t>
            </w:r>
          </w:p>
        </w:tc>
        <w:tc>
          <w:tcPr>
            <w:tcW w:w="0" w:type="auto"/>
          </w:tcPr>
          <w:p w:rsidR="002F3DF8" w:rsidRDefault="008359BD" w:rsidP="00A90941">
            <w:r w:rsidRPr="008359BD">
              <w:t>Work arising from restructuring will mean that there are more consistent interfaces between schools and services and a clearer understanding of the points of contact between schools and services as well as what each other’s requirements are.</w:t>
            </w:r>
          </w:p>
          <w:p w:rsidR="00F1498E" w:rsidRDefault="002F3DF8" w:rsidP="005847E2">
            <w:pPr>
              <w:pStyle w:val="Cellbullets"/>
            </w:pPr>
            <w:r w:rsidRPr="00CD517C">
              <w:t xml:space="preserve">Many </w:t>
            </w:r>
            <w:r w:rsidR="00F1498E">
              <w:t>opportunities to move from several departmental contacts to a single school contact are being explored</w:t>
            </w:r>
            <w:r w:rsidR="005847E2">
              <w:t>.</w:t>
            </w:r>
          </w:p>
          <w:p w:rsidR="00CD517C" w:rsidRPr="00CD517C" w:rsidRDefault="00CD517C" w:rsidP="005847E2">
            <w:pPr>
              <w:pStyle w:val="Cellbullets"/>
            </w:pPr>
            <w:r w:rsidRPr="00D31CF9">
              <w:t xml:space="preserve">The School of Science anticipate that the creation of three administrative support </w:t>
            </w:r>
            <w:proofErr w:type="spellStart"/>
            <w:r w:rsidRPr="00D31CF9">
              <w:t>centres</w:t>
            </w:r>
            <w:proofErr w:type="spellEnd"/>
            <w:r w:rsidRPr="00D31CF9">
              <w:t xml:space="preserve"> and a School IT support structure will lead to staff savings over the next two years, </w:t>
            </w:r>
            <w:r w:rsidR="00D31CF9" w:rsidRPr="00D31CF9">
              <w:t xml:space="preserve">following planned retirements. </w:t>
            </w:r>
          </w:p>
        </w:tc>
      </w:tr>
      <w:tr w:rsidR="00F1498E" w:rsidRPr="008359BD" w:rsidTr="001A62A3">
        <w:tc>
          <w:tcPr>
            <w:tcW w:w="0" w:type="auto"/>
          </w:tcPr>
          <w:p w:rsidR="008359BD" w:rsidRPr="008359BD" w:rsidRDefault="008359BD" w:rsidP="00D31CF9">
            <w:pPr>
              <w:jc w:val="right"/>
              <w:rPr>
                <w:sz w:val="22"/>
                <w:szCs w:val="22"/>
              </w:rPr>
            </w:pPr>
            <w:r w:rsidRPr="008359BD">
              <w:rPr>
                <w:sz w:val="22"/>
                <w:szCs w:val="22"/>
              </w:rPr>
              <w:t>7</w:t>
            </w:r>
          </w:p>
        </w:tc>
        <w:tc>
          <w:tcPr>
            <w:tcW w:w="0" w:type="auto"/>
          </w:tcPr>
          <w:p w:rsidR="008359BD" w:rsidRPr="008359BD" w:rsidRDefault="008359BD" w:rsidP="00BE1BCD">
            <w:pPr>
              <w:rPr>
                <w:sz w:val="22"/>
                <w:szCs w:val="22"/>
              </w:rPr>
            </w:pPr>
            <w:r w:rsidRPr="008359BD">
              <w:rPr>
                <w:sz w:val="22"/>
                <w:szCs w:val="22"/>
              </w:rPr>
              <w:t>There would be a good opportunity for LSU to reform the current Programme Representative structure, which LSU have indicated is desired.</w:t>
            </w:r>
          </w:p>
        </w:tc>
        <w:tc>
          <w:tcPr>
            <w:tcW w:w="0" w:type="auto"/>
          </w:tcPr>
          <w:p w:rsidR="008359BD" w:rsidRPr="008359BD" w:rsidRDefault="008359BD" w:rsidP="00BE1BCD">
            <w:pPr>
              <w:rPr>
                <w:sz w:val="22"/>
                <w:szCs w:val="22"/>
              </w:rPr>
            </w:pPr>
          </w:p>
        </w:tc>
      </w:tr>
      <w:tr w:rsidR="00F1498E" w:rsidRPr="008359BD" w:rsidTr="005847E2">
        <w:trPr>
          <w:cantSplit/>
        </w:trPr>
        <w:tc>
          <w:tcPr>
            <w:tcW w:w="0" w:type="auto"/>
          </w:tcPr>
          <w:p w:rsidR="008359BD" w:rsidRPr="008359BD" w:rsidRDefault="008359BD" w:rsidP="00D31CF9">
            <w:pPr>
              <w:jc w:val="right"/>
              <w:rPr>
                <w:sz w:val="22"/>
                <w:szCs w:val="22"/>
              </w:rPr>
            </w:pPr>
            <w:r w:rsidRPr="008359BD">
              <w:rPr>
                <w:sz w:val="22"/>
                <w:szCs w:val="22"/>
              </w:rPr>
              <w:lastRenderedPageBreak/>
              <w:t>8</w:t>
            </w:r>
          </w:p>
        </w:tc>
        <w:tc>
          <w:tcPr>
            <w:tcW w:w="0" w:type="auto"/>
          </w:tcPr>
          <w:p w:rsidR="008359BD" w:rsidRPr="008359BD" w:rsidRDefault="008359BD" w:rsidP="00BE1BCD">
            <w:pPr>
              <w:rPr>
                <w:sz w:val="22"/>
                <w:szCs w:val="22"/>
              </w:rPr>
            </w:pPr>
            <w:r w:rsidRPr="008359BD">
              <w:rPr>
                <w:sz w:val="22"/>
                <w:szCs w:val="22"/>
              </w:rPr>
              <w:t>It should be possible, within a School structure, to provide better career pathways for departmental support staff.</w:t>
            </w:r>
          </w:p>
        </w:tc>
        <w:tc>
          <w:tcPr>
            <w:tcW w:w="0" w:type="auto"/>
          </w:tcPr>
          <w:p w:rsidR="008359BD" w:rsidRPr="008359BD" w:rsidRDefault="008359BD" w:rsidP="00BE1BCD">
            <w:pPr>
              <w:rPr>
                <w:sz w:val="22"/>
                <w:szCs w:val="22"/>
              </w:rPr>
            </w:pPr>
            <w:r w:rsidRPr="008359BD">
              <w:rPr>
                <w:sz w:val="22"/>
                <w:szCs w:val="22"/>
              </w:rPr>
              <w:t>This has already been encouraged by the appointment of the Operations Managers and the greatly increased use of internal-only appointments.</w:t>
            </w:r>
          </w:p>
        </w:tc>
      </w:tr>
    </w:tbl>
    <w:p w:rsidR="00E32204" w:rsidRDefault="008359BD" w:rsidP="00E32204">
      <w:pPr>
        <w:pStyle w:val="Heading2"/>
      </w:pPr>
      <w:r>
        <w:t>Further</w:t>
      </w:r>
      <w:r w:rsidR="00E32204">
        <w:t xml:space="preserve"> Benefits and Comments</w:t>
      </w:r>
    </w:p>
    <w:p w:rsidR="001059E0" w:rsidRPr="001059E0" w:rsidRDefault="001059E0" w:rsidP="00AD7A2E">
      <w:pPr>
        <w:keepNext/>
      </w:pPr>
    </w:p>
    <w:tbl>
      <w:tblPr>
        <w:tblStyle w:val="TableGrid"/>
        <w:tblW w:w="0" w:type="auto"/>
        <w:tblInd w:w="18" w:type="dxa"/>
        <w:tblLook w:val="04A0" w:firstRow="1" w:lastRow="0" w:firstColumn="1" w:lastColumn="0" w:noHBand="0" w:noVBand="1"/>
      </w:tblPr>
      <w:tblGrid>
        <w:gridCol w:w="461"/>
        <w:gridCol w:w="2433"/>
        <w:gridCol w:w="6690"/>
      </w:tblGrid>
      <w:tr w:rsidR="008359BD" w:rsidRPr="00E32204" w:rsidTr="008359BD">
        <w:tc>
          <w:tcPr>
            <w:tcW w:w="0" w:type="auto"/>
            <w:shd w:val="clear" w:color="auto" w:fill="D9D9D9" w:themeFill="background1" w:themeFillShade="D9"/>
          </w:tcPr>
          <w:p w:rsidR="008359BD" w:rsidRDefault="008359BD" w:rsidP="00C03D39">
            <w:pPr>
              <w:pStyle w:val="Heading3"/>
              <w:spacing w:after="0"/>
              <w:jc w:val="center"/>
            </w:pPr>
            <w:r>
              <w:t>#</w:t>
            </w:r>
          </w:p>
        </w:tc>
        <w:tc>
          <w:tcPr>
            <w:tcW w:w="0" w:type="auto"/>
            <w:shd w:val="clear" w:color="auto" w:fill="D9D9D9" w:themeFill="background1" w:themeFillShade="D9"/>
          </w:tcPr>
          <w:p w:rsidR="008359BD" w:rsidRPr="00E32204" w:rsidRDefault="008359BD" w:rsidP="00AD7A2E">
            <w:pPr>
              <w:pStyle w:val="Heading3"/>
              <w:spacing w:after="0"/>
            </w:pPr>
            <w:r>
              <w:t>Benefit</w:t>
            </w:r>
          </w:p>
        </w:tc>
        <w:tc>
          <w:tcPr>
            <w:tcW w:w="0" w:type="auto"/>
            <w:shd w:val="clear" w:color="auto" w:fill="D9D9D9" w:themeFill="background1" w:themeFillShade="D9"/>
          </w:tcPr>
          <w:p w:rsidR="008359BD" w:rsidRPr="00E32204" w:rsidRDefault="008359BD" w:rsidP="00AD7A2E">
            <w:pPr>
              <w:pStyle w:val="Heading3"/>
              <w:spacing w:after="0"/>
            </w:pPr>
            <w:r>
              <w:t>Comment</w:t>
            </w:r>
            <w:r w:rsidR="004B5970">
              <w:t>s</w:t>
            </w:r>
          </w:p>
        </w:tc>
      </w:tr>
      <w:tr w:rsidR="008359BD" w:rsidRPr="008359BD" w:rsidTr="008359BD">
        <w:tc>
          <w:tcPr>
            <w:tcW w:w="0" w:type="auto"/>
          </w:tcPr>
          <w:p w:rsidR="008359BD" w:rsidRPr="008359BD" w:rsidRDefault="008359BD" w:rsidP="009E1FC1">
            <w:pPr>
              <w:jc w:val="right"/>
              <w:rPr>
                <w:sz w:val="22"/>
                <w:szCs w:val="22"/>
              </w:rPr>
            </w:pPr>
            <w:r w:rsidRPr="008359BD">
              <w:rPr>
                <w:sz w:val="22"/>
                <w:szCs w:val="22"/>
              </w:rPr>
              <w:t>1</w:t>
            </w:r>
          </w:p>
        </w:tc>
        <w:tc>
          <w:tcPr>
            <w:tcW w:w="0" w:type="auto"/>
          </w:tcPr>
          <w:p w:rsidR="008359BD" w:rsidRPr="008359BD" w:rsidRDefault="008359BD" w:rsidP="00AD7A2E">
            <w:pPr>
              <w:keepLines/>
              <w:rPr>
                <w:sz w:val="22"/>
                <w:szCs w:val="22"/>
              </w:rPr>
            </w:pPr>
            <w:r w:rsidRPr="008359BD">
              <w:rPr>
                <w:sz w:val="22"/>
                <w:szCs w:val="22"/>
              </w:rPr>
              <w:t>Elimination or modification of existing processes</w:t>
            </w:r>
          </w:p>
        </w:tc>
        <w:tc>
          <w:tcPr>
            <w:tcW w:w="0" w:type="auto"/>
          </w:tcPr>
          <w:p w:rsidR="008359BD" w:rsidRPr="008359BD" w:rsidRDefault="008359BD" w:rsidP="00AD7A2E">
            <w:pPr>
              <w:keepNext/>
              <w:rPr>
                <w:sz w:val="22"/>
                <w:szCs w:val="22"/>
              </w:rPr>
            </w:pPr>
            <w:r w:rsidRPr="008359BD">
              <w:rPr>
                <w:sz w:val="22"/>
                <w:szCs w:val="22"/>
              </w:rPr>
              <w:t>Restructuring has identified processes that have been eliminated or modified. Examples include:</w:t>
            </w:r>
          </w:p>
          <w:p w:rsidR="008359BD" w:rsidRPr="00CD517C" w:rsidRDefault="008359BD" w:rsidP="005847E2">
            <w:pPr>
              <w:pStyle w:val="Cellbullets"/>
            </w:pPr>
            <w:r w:rsidRPr="00CD517C">
              <w:t>Transfer of responsibilities from Faculty to School or Academic Registry has frequently removed a layer of administration</w:t>
            </w:r>
          </w:p>
          <w:p w:rsidR="008359BD" w:rsidRPr="00CD517C" w:rsidRDefault="008359BD" w:rsidP="005847E2">
            <w:pPr>
              <w:pStyle w:val="Cellbullets"/>
            </w:pPr>
            <w:proofErr w:type="spellStart"/>
            <w:r w:rsidRPr="00CD517C">
              <w:t>Rationalisation</w:t>
            </w:r>
            <w:proofErr w:type="spellEnd"/>
            <w:r w:rsidRPr="00CD517C">
              <w:t xml:space="preserve"> of Committees has included merger and abolition of committees</w:t>
            </w:r>
          </w:p>
          <w:p w:rsidR="0009723B" w:rsidRPr="00CD517C" w:rsidRDefault="0009723B" w:rsidP="005847E2">
            <w:pPr>
              <w:pStyle w:val="Cellbullets"/>
            </w:pPr>
            <w:r w:rsidRPr="00CD517C">
              <w:t xml:space="preserve">Plus the widespread variations of processes between departments e.g. </w:t>
            </w:r>
            <w:r w:rsidR="00647D0F" w:rsidRPr="00CD517C">
              <w:t xml:space="preserve">just </w:t>
            </w:r>
            <w:r w:rsidRPr="00CD517C">
              <w:t>within Financial management:</w:t>
            </w:r>
          </w:p>
          <w:p w:rsidR="0009723B" w:rsidRPr="00CD517C" w:rsidRDefault="0009723B" w:rsidP="005847E2">
            <w:pPr>
              <w:pStyle w:val="Cellbullets"/>
            </w:pPr>
            <w:r w:rsidRPr="00CD517C">
              <w:t>Procurement</w:t>
            </w:r>
          </w:p>
          <w:p w:rsidR="0009723B" w:rsidRPr="00CD517C" w:rsidRDefault="0009723B" w:rsidP="005847E2">
            <w:pPr>
              <w:pStyle w:val="Cellbullets"/>
            </w:pPr>
            <w:r w:rsidRPr="00CD517C">
              <w:t>Deliveries and goods in</w:t>
            </w:r>
          </w:p>
          <w:p w:rsidR="0009723B" w:rsidRPr="00CD517C" w:rsidRDefault="00647D0F" w:rsidP="005847E2">
            <w:pPr>
              <w:pStyle w:val="Cellbullets"/>
            </w:pPr>
            <w:r w:rsidRPr="00CD517C">
              <w:t>Provision of Management Information</w:t>
            </w:r>
          </w:p>
          <w:p w:rsidR="00647D0F" w:rsidRPr="00CD517C" w:rsidRDefault="00647D0F" w:rsidP="005847E2">
            <w:pPr>
              <w:pStyle w:val="Cellbullets"/>
            </w:pPr>
            <w:r w:rsidRPr="00CD517C">
              <w:t>Approvals processes</w:t>
            </w:r>
          </w:p>
          <w:p w:rsidR="0009723B" w:rsidRPr="00CD517C" w:rsidRDefault="00647D0F" w:rsidP="005847E2">
            <w:pPr>
              <w:pStyle w:val="Cellbullets"/>
            </w:pPr>
            <w:r w:rsidRPr="00CD517C">
              <w:t>Managing bought in teaching and casual employment</w:t>
            </w:r>
          </w:p>
          <w:p w:rsidR="00647D0F" w:rsidRPr="00CD517C" w:rsidRDefault="00647D0F" w:rsidP="005847E2">
            <w:pPr>
              <w:pStyle w:val="Cellbullets"/>
            </w:pPr>
            <w:r w:rsidRPr="00CD517C">
              <w:t>Credit Card payments and expenses claims</w:t>
            </w:r>
          </w:p>
          <w:p w:rsidR="00647D0F" w:rsidRPr="008359BD" w:rsidRDefault="00647D0F" w:rsidP="005847E2">
            <w:pPr>
              <w:pStyle w:val="Cellbullets"/>
            </w:pPr>
            <w:r w:rsidRPr="00CD517C">
              <w:t>By identifying and rolling out best practice in these areas we will certainly generate efficiencies.</w:t>
            </w:r>
            <w:r w:rsidR="00CD517C" w:rsidRPr="008359BD">
              <w:t xml:space="preserve"> </w:t>
            </w:r>
          </w:p>
        </w:tc>
      </w:tr>
      <w:tr w:rsidR="008359BD" w:rsidRPr="008359BD" w:rsidTr="008359BD">
        <w:tc>
          <w:tcPr>
            <w:tcW w:w="0" w:type="auto"/>
          </w:tcPr>
          <w:p w:rsidR="008359BD" w:rsidRPr="008359BD" w:rsidRDefault="008359BD" w:rsidP="009E1FC1">
            <w:pPr>
              <w:jc w:val="right"/>
              <w:rPr>
                <w:sz w:val="22"/>
                <w:szCs w:val="22"/>
              </w:rPr>
            </w:pPr>
            <w:r w:rsidRPr="008359BD">
              <w:rPr>
                <w:sz w:val="22"/>
                <w:szCs w:val="22"/>
              </w:rPr>
              <w:t>2</w:t>
            </w:r>
          </w:p>
        </w:tc>
        <w:tc>
          <w:tcPr>
            <w:tcW w:w="0" w:type="auto"/>
          </w:tcPr>
          <w:p w:rsidR="008359BD" w:rsidRPr="008359BD" w:rsidRDefault="008359BD" w:rsidP="00BE1BCD">
            <w:pPr>
              <w:rPr>
                <w:sz w:val="22"/>
                <w:szCs w:val="22"/>
              </w:rPr>
            </w:pPr>
            <w:r w:rsidRPr="008359BD">
              <w:rPr>
                <w:sz w:val="22"/>
                <w:szCs w:val="22"/>
              </w:rPr>
              <w:t>Confirmation that processes are fit for purpose</w:t>
            </w:r>
          </w:p>
        </w:tc>
        <w:tc>
          <w:tcPr>
            <w:tcW w:w="0" w:type="auto"/>
          </w:tcPr>
          <w:p w:rsidR="008359BD" w:rsidRPr="008359BD" w:rsidRDefault="008359BD" w:rsidP="00BE1BCD">
            <w:pPr>
              <w:rPr>
                <w:sz w:val="22"/>
                <w:szCs w:val="22"/>
              </w:rPr>
            </w:pPr>
            <w:r w:rsidRPr="008359BD">
              <w:rPr>
                <w:sz w:val="22"/>
                <w:szCs w:val="22"/>
              </w:rPr>
              <w:t>The review of existing processes has meant that we are confident that those processes that we have retained are necessary and fit for purpose.</w:t>
            </w:r>
          </w:p>
        </w:tc>
      </w:tr>
      <w:tr w:rsidR="008359BD" w:rsidRPr="008359BD" w:rsidTr="008359BD">
        <w:tc>
          <w:tcPr>
            <w:tcW w:w="0" w:type="auto"/>
          </w:tcPr>
          <w:p w:rsidR="008359BD" w:rsidRPr="008359BD" w:rsidRDefault="008359BD" w:rsidP="009E1FC1">
            <w:pPr>
              <w:jc w:val="right"/>
              <w:rPr>
                <w:sz w:val="22"/>
                <w:szCs w:val="22"/>
              </w:rPr>
            </w:pPr>
            <w:r w:rsidRPr="008359BD">
              <w:rPr>
                <w:sz w:val="22"/>
                <w:szCs w:val="22"/>
              </w:rPr>
              <w:t>3</w:t>
            </w:r>
          </w:p>
        </w:tc>
        <w:tc>
          <w:tcPr>
            <w:tcW w:w="0" w:type="auto"/>
          </w:tcPr>
          <w:p w:rsidR="008359BD" w:rsidRPr="008359BD" w:rsidRDefault="008359BD" w:rsidP="00BE1BCD">
            <w:pPr>
              <w:rPr>
                <w:sz w:val="22"/>
                <w:szCs w:val="22"/>
              </w:rPr>
            </w:pPr>
            <w:r w:rsidRPr="008359BD">
              <w:rPr>
                <w:sz w:val="22"/>
                <w:szCs w:val="22"/>
              </w:rPr>
              <w:t>Greater strategic awareness</w:t>
            </w:r>
          </w:p>
        </w:tc>
        <w:tc>
          <w:tcPr>
            <w:tcW w:w="0" w:type="auto"/>
          </w:tcPr>
          <w:p w:rsidR="008359BD" w:rsidRDefault="008359BD" w:rsidP="00BE1BCD">
            <w:pPr>
              <w:rPr>
                <w:sz w:val="22"/>
                <w:szCs w:val="22"/>
              </w:rPr>
            </w:pPr>
            <w:r w:rsidRPr="008359BD">
              <w:rPr>
                <w:sz w:val="22"/>
                <w:szCs w:val="22"/>
              </w:rPr>
              <w:t>The increase in the number of Deans and Associate Deans will mean that there is a wider understanding across the university of the external environment and strategic priorities.</w:t>
            </w:r>
          </w:p>
          <w:p w:rsidR="005455BF" w:rsidRPr="005455BF" w:rsidRDefault="005455BF" w:rsidP="005847E2">
            <w:pPr>
              <w:pStyle w:val="Cellbullets"/>
            </w:pPr>
            <w:r w:rsidRPr="005455BF">
              <w:t>Deans-elect are already commenting that the creation of the OM posts will liberate them for more strategic thinking.</w:t>
            </w:r>
          </w:p>
        </w:tc>
      </w:tr>
      <w:tr w:rsidR="008359BD" w:rsidRPr="008359BD" w:rsidTr="008359BD">
        <w:tc>
          <w:tcPr>
            <w:tcW w:w="0" w:type="auto"/>
          </w:tcPr>
          <w:p w:rsidR="008359BD" w:rsidRPr="008359BD" w:rsidRDefault="008359BD" w:rsidP="009E1FC1">
            <w:pPr>
              <w:jc w:val="right"/>
              <w:rPr>
                <w:sz w:val="22"/>
                <w:szCs w:val="22"/>
              </w:rPr>
            </w:pPr>
            <w:r w:rsidRPr="008359BD">
              <w:rPr>
                <w:sz w:val="22"/>
                <w:szCs w:val="22"/>
              </w:rPr>
              <w:t>4</w:t>
            </w:r>
          </w:p>
        </w:tc>
        <w:tc>
          <w:tcPr>
            <w:tcW w:w="0" w:type="auto"/>
          </w:tcPr>
          <w:p w:rsidR="008359BD" w:rsidRPr="008359BD" w:rsidRDefault="008359BD" w:rsidP="00BE1BCD">
            <w:pPr>
              <w:rPr>
                <w:sz w:val="22"/>
                <w:szCs w:val="22"/>
              </w:rPr>
            </w:pPr>
            <w:r w:rsidRPr="008359BD">
              <w:rPr>
                <w:sz w:val="22"/>
                <w:szCs w:val="22"/>
              </w:rPr>
              <w:t>Recognition of the value of bringing together different groups of people</w:t>
            </w:r>
          </w:p>
        </w:tc>
        <w:tc>
          <w:tcPr>
            <w:tcW w:w="0" w:type="auto"/>
          </w:tcPr>
          <w:p w:rsidR="008359BD" w:rsidRDefault="008359BD" w:rsidP="00BE1BCD">
            <w:pPr>
              <w:rPr>
                <w:sz w:val="22"/>
                <w:szCs w:val="22"/>
              </w:rPr>
            </w:pPr>
            <w:r w:rsidRPr="008359BD">
              <w:rPr>
                <w:sz w:val="22"/>
                <w:szCs w:val="22"/>
              </w:rPr>
              <w:t>The restructuring process brought together mixed groups that would not otherwise have met; this greatly increased mutual understanding, generated ideas for change and created new networks.</w:t>
            </w:r>
          </w:p>
          <w:p w:rsidR="0038116E" w:rsidRPr="00CD517C" w:rsidRDefault="0038116E" w:rsidP="005847E2">
            <w:pPr>
              <w:pStyle w:val="Cellbullets"/>
            </w:pPr>
            <w:r w:rsidRPr="00CD517C">
              <w:t>This has certainly been the case with the OMs as a group, where our varied backgrounds have brought a number of ideas together.</w:t>
            </w:r>
          </w:p>
        </w:tc>
      </w:tr>
      <w:tr w:rsidR="008359BD" w:rsidRPr="008359BD" w:rsidTr="008359BD">
        <w:tc>
          <w:tcPr>
            <w:tcW w:w="0" w:type="auto"/>
          </w:tcPr>
          <w:p w:rsidR="008359BD" w:rsidRPr="008359BD" w:rsidRDefault="008359BD" w:rsidP="009E1FC1">
            <w:pPr>
              <w:jc w:val="right"/>
              <w:rPr>
                <w:sz w:val="22"/>
                <w:szCs w:val="22"/>
              </w:rPr>
            </w:pPr>
            <w:r w:rsidRPr="008359BD">
              <w:rPr>
                <w:sz w:val="22"/>
                <w:szCs w:val="22"/>
              </w:rPr>
              <w:t>5</w:t>
            </w:r>
          </w:p>
        </w:tc>
        <w:tc>
          <w:tcPr>
            <w:tcW w:w="0" w:type="auto"/>
          </w:tcPr>
          <w:p w:rsidR="008359BD" w:rsidRPr="008359BD" w:rsidRDefault="008359BD" w:rsidP="00BE1BCD">
            <w:pPr>
              <w:rPr>
                <w:sz w:val="22"/>
                <w:szCs w:val="22"/>
              </w:rPr>
            </w:pPr>
            <w:r w:rsidRPr="008359BD">
              <w:rPr>
                <w:sz w:val="22"/>
                <w:szCs w:val="22"/>
              </w:rPr>
              <w:t>Impetus to change</w:t>
            </w:r>
          </w:p>
        </w:tc>
        <w:tc>
          <w:tcPr>
            <w:tcW w:w="0" w:type="auto"/>
          </w:tcPr>
          <w:p w:rsidR="001A62A3" w:rsidRDefault="00CD517C" w:rsidP="00BE1BCD">
            <w:pPr>
              <w:rPr>
                <w:sz w:val="22"/>
                <w:szCs w:val="22"/>
              </w:rPr>
            </w:pPr>
            <w:r>
              <w:rPr>
                <w:sz w:val="22"/>
                <w:szCs w:val="22"/>
              </w:rPr>
              <w:t xml:space="preserve">The working groups didn’t just bring together the usual suspects. This produced opportunities for new ideas to be taken forward and </w:t>
            </w:r>
            <w:r w:rsidR="005455BF">
              <w:rPr>
                <w:sz w:val="22"/>
                <w:szCs w:val="22"/>
              </w:rPr>
              <w:t xml:space="preserve">for </w:t>
            </w:r>
            <w:r>
              <w:rPr>
                <w:sz w:val="22"/>
                <w:szCs w:val="22"/>
              </w:rPr>
              <w:t>established ideas to be shared more widely.</w:t>
            </w:r>
          </w:p>
          <w:p w:rsidR="008359BD" w:rsidRPr="00CD517C" w:rsidRDefault="008359BD" w:rsidP="005847E2">
            <w:pPr>
              <w:pStyle w:val="Cellbullets"/>
            </w:pPr>
            <w:r w:rsidRPr="00CD517C">
              <w:t>The use of Outlook and of a range of institutional calendars was given huge impetus by the restructuring process.</w:t>
            </w:r>
          </w:p>
          <w:p w:rsidR="00CD517C" w:rsidRDefault="00CD517C" w:rsidP="005847E2">
            <w:pPr>
              <w:pStyle w:val="Cellbullets"/>
            </w:pPr>
            <w:r w:rsidRPr="005455BF">
              <w:t>It is planned in 2011/2012 to introduce an electronic process for receipting coursework submission, which was</w:t>
            </w:r>
            <w:r w:rsidR="005455BF" w:rsidRPr="005455BF">
              <w:t xml:space="preserve"> developed by the </w:t>
            </w:r>
            <w:proofErr w:type="spellStart"/>
            <w:r w:rsidR="005455BF" w:rsidRPr="005455BF">
              <w:t>Eng</w:t>
            </w:r>
            <w:proofErr w:type="spellEnd"/>
            <w:r w:rsidR="005455BF" w:rsidRPr="005455BF">
              <w:t xml:space="preserve"> CETL. </w:t>
            </w:r>
            <w:r w:rsidRPr="005455BF">
              <w:t xml:space="preserve">This will save staff time at the point of collection and in the monitoring of student engagement, produce more accurate records of student engagement and with some further development transfer the lists of submission/non-submission directly to Attendant. </w:t>
            </w:r>
            <w:r w:rsidR="005455BF" w:rsidRPr="005455BF">
              <w:t xml:space="preserve"> </w:t>
            </w:r>
          </w:p>
          <w:p w:rsidR="00F1498E" w:rsidRPr="005455BF" w:rsidRDefault="00F1498E" w:rsidP="005847E2">
            <w:pPr>
              <w:pStyle w:val="Cellbullets"/>
            </w:pPr>
            <w:r>
              <w:t xml:space="preserve">More generally there is a </w:t>
            </w:r>
            <w:r w:rsidR="002B3F32">
              <w:t xml:space="preserve">widespread </w:t>
            </w:r>
            <w:r>
              <w:t>willingness to accept change.</w:t>
            </w:r>
            <w:r w:rsidRPr="00CD517C">
              <w:t xml:space="preserve"> </w:t>
            </w:r>
            <w:r>
              <w:t>“</w:t>
            </w:r>
            <w:r w:rsidRPr="00CD517C">
              <w:t xml:space="preserve">I have frequently heard </w:t>
            </w:r>
            <w:proofErr w:type="gramStart"/>
            <w:r w:rsidRPr="00CD517C">
              <w:t>staff say</w:t>
            </w:r>
            <w:proofErr w:type="gramEnd"/>
            <w:r>
              <w:t>, ‘</w:t>
            </w:r>
            <w:r w:rsidRPr="00CD517C">
              <w:t>We understand things are going to change with Schools coming</w:t>
            </w:r>
            <w:r>
              <w:t>.’</w:t>
            </w:r>
            <w:r w:rsidRPr="00CD517C">
              <w:t>”</w:t>
            </w:r>
          </w:p>
        </w:tc>
      </w:tr>
      <w:tr w:rsidR="008359BD" w:rsidRPr="008359BD" w:rsidTr="008359BD">
        <w:tc>
          <w:tcPr>
            <w:tcW w:w="0" w:type="auto"/>
          </w:tcPr>
          <w:p w:rsidR="008359BD" w:rsidRPr="008359BD" w:rsidRDefault="008359BD" w:rsidP="009E1FC1">
            <w:pPr>
              <w:jc w:val="right"/>
              <w:rPr>
                <w:sz w:val="22"/>
                <w:szCs w:val="22"/>
              </w:rPr>
            </w:pPr>
            <w:r w:rsidRPr="008359BD">
              <w:rPr>
                <w:sz w:val="22"/>
                <w:szCs w:val="22"/>
              </w:rPr>
              <w:t>6</w:t>
            </w:r>
          </w:p>
        </w:tc>
        <w:tc>
          <w:tcPr>
            <w:tcW w:w="0" w:type="auto"/>
          </w:tcPr>
          <w:p w:rsidR="008359BD" w:rsidRPr="008359BD" w:rsidRDefault="008359BD" w:rsidP="00BE1BCD">
            <w:pPr>
              <w:rPr>
                <w:sz w:val="22"/>
                <w:szCs w:val="22"/>
              </w:rPr>
            </w:pPr>
            <w:r w:rsidRPr="008359BD">
              <w:rPr>
                <w:sz w:val="22"/>
                <w:szCs w:val="22"/>
              </w:rPr>
              <w:t>Better sharing of good practice</w:t>
            </w:r>
          </w:p>
        </w:tc>
        <w:tc>
          <w:tcPr>
            <w:tcW w:w="0" w:type="auto"/>
          </w:tcPr>
          <w:p w:rsidR="008359BD" w:rsidRDefault="008359BD" w:rsidP="00BE1BCD">
            <w:pPr>
              <w:rPr>
                <w:sz w:val="22"/>
                <w:szCs w:val="22"/>
              </w:rPr>
            </w:pPr>
            <w:r w:rsidRPr="008359BD">
              <w:rPr>
                <w:sz w:val="22"/>
                <w:szCs w:val="22"/>
              </w:rPr>
              <w:t xml:space="preserve">It is anticipated that there will be a forum similar to Services Working Together which will include Operations Managers, </w:t>
            </w:r>
            <w:r w:rsidRPr="008359BD">
              <w:rPr>
                <w:sz w:val="22"/>
                <w:szCs w:val="22"/>
              </w:rPr>
              <w:lastRenderedPageBreak/>
              <w:t>enabling better communication between academic depa</w:t>
            </w:r>
            <w:r>
              <w:rPr>
                <w:sz w:val="22"/>
                <w:szCs w:val="22"/>
              </w:rPr>
              <w:t>rtments and support functions, t</w:t>
            </w:r>
            <w:r w:rsidRPr="008359BD">
              <w:rPr>
                <w:sz w:val="22"/>
                <w:szCs w:val="22"/>
              </w:rPr>
              <w:t>he aim being to share best practice and improvement of processes.</w:t>
            </w:r>
            <w:r w:rsidR="005847E2">
              <w:rPr>
                <w:sz w:val="22"/>
                <w:szCs w:val="22"/>
              </w:rPr>
              <w:br/>
            </w:r>
          </w:p>
          <w:p w:rsidR="0038116E" w:rsidRDefault="005847E2" w:rsidP="005847E2">
            <w:pPr>
              <w:pStyle w:val="Cellbullets"/>
            </w:pPr>
            <w:r>
              <w:t>“</w:t>
            </w:r>
            <w:r w:rsidR="0038116E" w:rsidRPr="00CD517C">
              <w:t xml:space="preserve">The OM group meetings have helped us share a number of good ideas. Specifically I borrowed the idea </w:t>
            </w:r>
            <w:r>
              <w:t>from another OM of rolling out ‘Dealing with Change’</w:t>
            </w:r>
            <w:r w:rsidR="0038116E" w:rsidRPr="00CD517C">
              <w:t xml:space="preserve"> courses as a way of supporting staff and bringing staff together from different departments.</w:t>
            </w:r>
            <w:r>
              <w:t>”</w:t>
            </w:r>
          </w:p>
          <w:p w:rsidR="00CD517C" w:rsidRDefault="00CD517C" w:rsidP="005847E2">
            <w:pPr>
              <w:pStyle w:val="Cellbullets"/>
            </w:pPr>
            <w:r w:rsidRPr="00CD517C">
              <w:t xml:space="preserve">Following a review of all administrative processes during 2010/2011 all Departments in the School of Science are now using an electronic process via Learn for students to choose options. This was identified as being the best practice in the School and has saved staff time and paper, has been more efficient and produced more accurate planning figures for the following academic year. Students have found it much easier to use and there has been a significantly higher response rate in a much shorter time frame. Having </w:t>
            </w:r>
            <w:proofErr w:type="spellStart"/>
            <w:r w:rsidRPr="00CD517C">
              <w:t>trialled</w:t>
            </w:r>
            <w:proofErr w:type="spellEnd"/>
            <w:r w:rsidRPr="00CD517C">
              <w:t xml:space="preserve"> it this year in Science and Electrical Engineering, the plan is to roll this out to other Departments in the University. </w:t>
            </w:r>
          </w:p>
          <w:p w:rsidR="005455BF" w:rsidRPr="005455BF" w:rsidRDefault="005455BF" w:rsidP="005847E2">
            <w:pPr>
              <w:pStyle w:val="Cellbullets"/>
            </w:pPr>
            <w:r w:rsidRPr="00D31CF9">
              <w:t xml:space="preserve">From 2011/2012 new students in the School will no longer receive hard copies of the Departmental and </w:t>
            </w:r>
            <w:proofErr w:type="spellStart"/>
            <w:r w:rsidRPr="00D31CF9">
              <w:t>Programme</w:t>
            </w:r>
            <w:proofErr w:type="spellEnd"/>
            <w:r w:rsidRPr="00D31CF9">
              <w:t xml:space="preserve"> Handbooks, but will be given the links to access these electronically. Paper copies will be available for reference and on request. This will save paper, photocopying costs and staff time. Again this was identified as being the best practice in the School.</w:t>
            </w:r>
            <w:r w:rsidRPr="005455BF">
              <w:t xml:space="preserve"> </w:t>
            </w:r>
          </w:p>
        </w:tc>
      </w:tr>
      <w:tr w:rsidR="008359BD" w:rsidRPr="008359BD" w:rsidTr="008359BD">
        <w:tc>
          <w:tcPr>
            <w:tcW w:w="0" w:type="auto"/>
          </w:tcPr>
          <w:p w:rsidR="008359BD" w:rsidRPr="008359BD" w:rsidRDefault="008359BD" w:rsidP="009E1FC1">
            <w:pPr>
              <w:jc w:val="right"/>
              <w:rPr>
                <w:sz w:val="22"/>
                <w:szCs w:val="22"/>
              </w:rPr>
            </w:pPr>
            <w:r w:rsidRPr="008359BD">
              <w:rPr>
                <w:sz w:val="22"/>
                <w:szCs w:val="22"/>
              </w:rPr>
              <w:lastRenderedPageBreak/>
              <w:t>7</w:t>
            </w:r>
          </w:p>
        </w:tc>
        <w:tc>
          <w:tcPr>
            <w:tcW w:w="0" w:type="auto"/>
          </w:tcPr>
          <w:p w:rsidR="008359BD" w:rsidRPr="008359BD" w:rsidRDefault="008359BD" w:rsidP="00BE1BCD">
            <w:pPr>
              <w:rPr>
                <w:sz w:val="22"/>
                <w:szCs w:val="22"/>
              </w:rPr>
            </w:pPr>
            <w:r w:rsidRPr="008359BD">
              <w:rPr>
                <w:sz w:val="22"/>
                <w:szCs w:val="22"/>
              </w:rPr>
              <w:t>Impetus to management and leadership development</w:t>
            </w:r>
          </w:p>
        </w:tc>
        <w:tc>
          <w:tcPr>
            <w:tcW w:w="0" w:type="auto"/>
          </w:tcPr>
          <w:p w:rsidR="008359BD" w:rsidRDefault="008359BD" w:rsidP="00BE1BCD">
            <w:pPr>
              <w:rPr>
                <w:sz w:val="22"/>
                <w:szCs w:val="22"/>
              </w:rPr>
            </w:pPr>
            <w:r w:rsidRPr="008359BD">
              <w:rPr>
                <w:sz w:val="22"/>
                <w:szCs w:val="22"/>
              </w:rPr>
              <w:t>Restructuring has helped focus attention on needs in this area.</w:t>
            </w:r>
          </w:p>
          <w:p w:rsidR="0038116E" w:rsidRPr="00CD517C" w:rsidRDefault="0038116E" w:rsidP="005847E2">
            <w:pPr>
              <w:pStyle w:val="Cellbullets"/>
            </w:pPr>
            <w:r w:rsidRPr="00CD517C">
              <w:t xml:space="preserve">The ILM </w:t>
            </w:r>
            <w:proofErr w:type="spellStart"/>
            <w:r w:rsidRPr="00CD517C">
              <w:t>programme</w:t>
            </w:r>
            <w:proofErr w:type="spellEnd"/>
            <w:r w:rsidRPr="00CD517C">
              <w:t xml:space="preserve"> has been well received by Deans and HODs as well as OMs</w:t>
            </w:r>
            <w:r w:rsidR="00CD517C" w:rsidRPr="00CD517C">
              <w:t>.</w:t>
            </w:r>
          </w:p>
        </w:tc>
      </w:tr>
      <w:tr w:rsidR="008359BD" w:rsidRPr="008359BD" w:rsidTr="008359BD">
        <w:tc>
          <w:tcPr>
            <w:tcW w:w="0" w:type="auto"/>
          </w:tcPr>
          <w:p w:rsidR="008359BD" w:rsidRPr="008359BD" w:rsidRDefault="008359BD" w:rsidP="009E1FC1">
            <w:pPr>
              <w:jc w:val="right"/>
              <w:rPr>
                <w:sz w:val="22"/>
                <w:szCs w:val="22"/>
              </w:rPr>
            </w:pPr>
            <w:r w:rsidRPr="008359BD">
              <w:rPr>
                <w:sz w:val="22"/>
                <w:szCs w:val="22"/>
              </w:rPr>
              <w:t>8</w:t>
            </w:r>
          </w:p>
        </w:tc>
        <w:tc>
          <w:tcPr>
            <w:tcW w:w="0" w:type="auto"/>
          </w:tcPr>
          <w:p w:rsidR="008359BD" w:rsidRPr="008359BD" w:rsidRDefault="008359BD" w:rsidP="00BE1BCD">
            <w:pPr>
              <w:rPr>
                <w:sz w:val="22"/>
                <w:szCs w:val="22"/>
                <w:highlight w:val="yellow"/>
              </w:rPr>
            </w:pPr>
            <w:r w:rsidRPr="008359BD">
              <w:rPr>
                <w:sz w:val="22"/>
                <w:szCs w:val="22"/>
              </w:rPr>
              <w:t>Increased profile of Enterprise</w:t>
            </w:r>
          </w:p>
        </w:tc>
        <w:tc>
          <w:tcPr>
            <w:tcW w:w="0" w:type="auto"/>
          </w:tcPr>
          <w:p w:rsidR="008359BD" w:rsidRPr="008359BD" w:rsidRDefault="008359BD" w:rsidP="00BE1BCD">
            <w:pPr>
              <w:rPr>
                <w:sz w:val="22"/>
                <w:szCs w:val="22"/>
              </w:rPr>
            </w:pPr>
            <w:r w:rsidRPr="008359BD">
              <w:rPr>
                <w:sz w:val="22"/>
                <w:szCs w:val="22"/>
              </w:rPr>
              <w:t>The profile of enterprise has been raised considerably with the formation of the Enterprise Committee and the recruitment of AD(E)s</w:t>
            </w:r>
            <w:r w:rsidR="00DA0015">
              <w:rPr>
                <w:sz w:val="22"/>
                <w:szCs w:val="22"/>
              </w:rPr>
              <w:t>.</w:t>
            </w:r>
          </w:p>
        </w:tc>
      </w:tr>
      <w:tr w:rsidR="008359BD" w:rsidRPr="008359BD" w:rsidTr="008359BD">
        <w:tc>
          <w:tcPr>
            <w:tcW w:w="0" w:type="auto"/>
          </w:tcPr>
          <w:p w:rsidR="008359BD" w:rsidRPr="008359BD" w:rsidRDefault="008359BD" w:rsidP="001A62A3">
            <w:pPr>
              <w:keepNext/>
              <w:jc w:val="right"/>
              <w:rPr>
                <w:sz w:val="22"/>
                <w:szCs w:val="22"/>
              </w:rPr>
            </w:pPr>
            <w:r w:rsidRPr="008359BD">
              <w:rPr>
                <w:sz w:val="22"/>
                <w:szCs w:val="22"/>
              </w:rPr>
              <w:t>9</w:t>
            </w:r>
          </w:p>
        </w:tc>
        <w:tc>
          <w:tcPr>
            <w:tcW w:w="0" w:type="auto"/>
          </w:tcPr>
          <w:p w:rsidR="008359BD" w:rsidRPr="008359BD" w:rsidRDefault="008359BD" w:rsidP="001A62A3">
            <w:pPr>
              <w:keepNext/>
              <w:rPr>
                <w:sz w:val="22"/>
                <w:szCs w:val="22"/>
              </w:rPr>
            </w:pPr>
            <w:r w:rsidRPr="008359BD">
              <w:rPr>
                <w:sz w:val="22"/>
                <w:szCs w:val="22"/>
              </w:rPr>
              <w:t>Personal resilience</w:t>
            </w:r>
          </w:p>
        </w:tc>
        <w:tc>
          <w:tcPr>
            <w:tcW w:w="0" w:type="auto"/>
          </w:tcPr>
          <w:p w:rsidR="008359BD" w:rsidRDefault="008359BD" w:rsidP="001A62A3">
            <w:pPr>
              <w:keepNext/>
              <w:rPr>
                <w:sz w:val="22"/>
                <w:szCs w:val="22"/>
              </w:rPr>
            </w:pPr>
            <w:r w:rsidRPr="008359BD">
              <w:rPr>
                <w:sz w:val="22"/>
                <w:szCs w:val="22"/>
              </w:rPr>
              <w:t>The focus on team-working is creating an opportunity for administrative support staff in particular to diversify their skills and prepare for future career changes or to adapt to future changes in their schools – the dual benefit is that these staff become both more employable and are more valuable to the business.</w:t>
            </w:r>
          </w:p>
          <w:p w:rsidR="00FB7954" w:rsidRPr="00CD517C" w:rsidRDefault="00FB7954" w:rsidP="005847E2">
            <w:pPr>
              <w:pStyle w:val="Cellbullets"/>
            </w:pPr>
            <w:r w:rsidRPr="00D31CF9">
              <w:t xml:space="preserve">Staff JDs will have a School Role element </w:t>
            </w:r>
            <w:proofErr w:type="spellStart"/>
            <w:r w:rsidRPr="00D31CF9">
              <w:t>emphasising</w:t>
            </w:r>
            <w:proofErr w:type="spellEnd"/>
            <w:r w:rsidRPr="00D31CF9">
              <w:t xml:space="preserve"> what they do for the School, and a Job specific element reflecting their specialist role.</w:t>
            </w:r>
            <w:r w:rsidR="00E77A8F" w:rsidRPr="00D31CF9">
              <w:t xml:space="preserve"> We hope this will help </w:t>
            </w:r>
            <w:proofErr w:type="spellStart"/>
            <w:r w:rsidR="00E77A8F" w:rsidRPr="00D31CF9">
              <w:t>emphasise</w:t>
            </w:r>
            <w:proofErr w:type="spellEnd"/>
            <w:r w:rsidR="00E77A8F" w:rsidRPr="00D31CF9">
              <w:t xml:space="preserve"> the need for staff to support the wider School Admin team.</w:t>
            </w:r>
          </w:p>
        </w:tc>
      </w:tr>
      <w:tr w:rsidR="008359BD" w:rsidRPr="008359BD" w:rsidTr="008359BD">
        <w:tc>
          <w:tcPr>
            <w:tcW w:w="0" w:type="auto"/>
          </w:tcPr>
          <w:p w:rsidR="008359BD" w:rsidRPr="008359BD" w:rsidRDefault="008359BD" w:rsidP="009E1FC1">
            <w:pPr>
              <w:jc w:val="right"/>
              <w:rPr>
                <w:sz w:val="22"/>
                <w:szCs w:val="22"/>
              </w:rPr>
            </w:pPr>
            <w:r w:rsidRPr="008359BD">
              <w:rPr>
                <w:sz w:val="22"/>
                <w:szCs w:val="22"/>
              </w:rPr>
              <w:t>10</w:t>
            </w:r>
          </w:p>
        </w:tc>
        <w:tc>
          <w:tcPr>
            <w:tcW w:w="0" w:type="auto"/>
          </w:tcPr>
          <w:p w:rsidR="008359BD" w:rsidRPr="008359BD" w:rsidRDefault="008359BD" w:rsidP="00BE1BCD">
            <w:pPr>
              <w:rPr>
                <w:sz w:val="22"/>
                <w:szCs w:val="22"/>
              </w:rPr>
            </w:pPr>
            <w:r w:rsidRPr="008359BD">
              <w:rPr>
                <w:sz w:val="22"/>
                <w:szCs w:val="22"/>
              </w:rPr>
              <w:t>Role enhancement</w:t>
            </w:r>
          </w:p>
        </w:tc>
        <w:tc>
          <w:tcPr>
            <w:tcW w:w="0" w:type="auto"/>
          </w:tcPr>
          <w:p w:rsidR="008359BD" w:rsidRDefault="008359BD" w:rsidP="00BE1BCD">
            <w:pPr>
              <w:rPr>
                <w:sz w:val="22"/>
                <w:szCs w:val="22"/>
              </w:rPr>
            </w:pPr>
            <w:r w:rsidRPr="008359BD">
              <w:rPr>
                <w:sz w:val="22"/>
                <w:szCs w:val="22"/>
              </w:rPr>
              <w:t>A benefit to support staff in the Schools will be the increased opportunity for them to work across the school in different areas, thus enhancing and enriching their working environment and offering them a more varied and interesting role.</w:t>
            </w:r>
          </w:p>
          <w:p w:rsidR="00E77A8F" w:rsidRPr="00CD517C" w:rsidRDefault="00E77A8F" w:rsidP="005847E2">
            <w:pPr>
              <w:pStyle w:val="Cellbullets"/>
            </w:pPr>
            <w:r w:rsidRPr="00CD517C">
              <w:t xml:space="preserve">As above, see working groups and adoption of best practice. In some cases we will try to move staff together </w:t>
            </w:r>
            <w:proofErr w:type="gramStart"/>
            <w:r w:rsidRPr="00CD517C">
              <w:t>who</w:t>
            </w:r>
            <w:proofErr w:type="gramEnd"/>
            <w:r w:rsidRPr="00CD517C">
              <w:t xml:space="preserve"> perform the same function (e.g. a finance team). In others, staff will remain seated in the relevant department but will frequently meet and exchange ideas with their counterparts. We will encourage </w:t>
            </w:r>
            <w:proofErr w:type="spellStart"/>
            <w:r w:rsidRPr="00CD517C">
              <w:t>secondments</w:t>
            </w:r>
            <w:proofErr w:type="spellEnd"/>
            <w:r w:rsidRPr="00CD517C">
              <w:t xml:space="preserve"> across different functions and to mix the department teams across the School.</w:t>
            </w:r>
          </w:p>
        </w:tc>
      </w:tr>
      <w:tr w:rsidR="008359BD" w:rsidRPr="008359BD" w:rsidTr="008359BD">
        <w:tc>
          <w:tcPr>
            <w:tcW w:w="0" w:type="auto"/>
          </w:tcPr>
          <w:p w:rsidR="008359BD" w:rsidRPr="008359BD" w:rsidRDefault="008359BD" w:rsidP="009E1FC1">
            <w:pPr>
              <w:jc w:val="right"/>
              <w:rPr>
                <w:sz w:val="22"/>
                <w:szCs w:val="22"/>
              </w:rPr>
            </w:pPr>
            <w:r w:rsidRPr="008359BD">
              <w:rPr>
                <w:sz w:val="22"/>
                <w:szCs w:val="22"/>
              </w:rPr>
              <w:t>11</w:t>
            </w:r>
          </w:p>
        </w:tc>
        <w:tc>
          <w:tcPr>
            <w:tcW w:w="0" w:type="auto"/>
          </w:tcPr>
          <w:p w:rsidR="008359BD" w:rsidRPr="008359BD" w:rsidRDefault="008359BD" w:rsidP="00BE1BCD">
            <w:pPr>
              <w:rPr>
                <w:sz w:val="22"/>
                <w:szCs w:val="22"/>
              </w:rPr>
            </w:pPr>
            <w:r w:rsidRPr="008359BD">
              <w:rPr>
                <w:sz w:val="22"/>
                <w:szCs w:val="22"/>
              </w:rPr>
              <w:t>Systematic review of roles</w:t>
            </w:r>
          </w:p>
        </w:tc>
        <w:tc>
          <w:tcPr>
            <w:tcW w:w="0" w:type="auto"/>
          </w:tcPr>
          <w:p w:rsidR="008359BD" w:rsidRDefault="008359BD" w:rsidP="00D31CF9">
            <w:pPr>
              <w:rPr>
                <w:sz w:val="22"/>
                <w:szCs w:val="22"/>
              </w:rPr>
            </w:pPr>
            <w:r w:rsidRPr="008359BD">
              <w:rPr>
                <w:sz w:val="22"/>
                <w:szCs w:val="22"/>
              </w:rPr>
              <w:t xml:space="preserve">The restructuring process is providing us with a unique opportunity to examine the requirements for support posts within the School, as a whole, rather than on an ad hoc basis as vacancies arise. </w:t>
            </w:r>
            <w:r w:rsidRPr="008359BD">
              <w:rPr>
                <w:sz w:val="22"/>
                <w:szCs w:val="22"/>
              </w:rPr>
              <w:lastRenderedPageBreak/>
              <w:t>Thus we are also able to identify efficiencies in terms of roles and responsibilities.</w:t>
            </w:r>
            <w:r w:rsidR="005847E2">
              <w:rPr>
                <w:sz w:val="22"/>
                <w:szCs w:val="22"/>
              </w:rPr>
              <w:br/>
            </w:r>
          </w:p>
          <w:p w:rsidR="00E77A8F" w:rsidRPr="00D31CF9" w:rsidRDefault="00E77A8F" w:rsidP="005847E2">
            <w:pPr>
              <w:pStyle w:val="Cellbullets"/>
            </w:pPr>
            <w:r w:rsidRPr="00D31CF9">
              <w:t xml:space="preserve">This has already begun but the specific examples that come out of this will take time. One example is to move towards a more </w:t>
            </w:r>
            <w:proofErr w:type="spellStart"/>
            <w:r w:rsidRPr="00D31CF9">
              <w:t>standardised</w:t>
            </w:r>
            <w:proofErr w:type="spellEnd"/>
            <w:r w:rsidRPr="00D31CF9">
              <w:t xml:space="preserve"> set of roles between departments that clearly fit within a simple matrix School structure. This will allow departmental specialism but also cross-school functional efficiency.</w:t>
            </w:r>
          </w:p>
        </w:tc>
      </w:tr>
    </w:tbl>
    <w:p w:rsidR="00E32204" w:rsidRDefault="00E32204" w:rsidP="00E32204"/>
    <w:p w:rsidR="006A2611" w:rsidRDefault="006A2611" w:rsidP="006A2611">
      <w:pPr>
        <w:tabs>
          <w:tab w:val="left" w:pos="720"/>
          <w:tab w:val="left" w:pos="5760"/>
          <w:tab w:val="left" w:pos="8910"/>
        </w:tabs>
        <w:rPr>
          <w:rFonts w:eastAsia="Calibri" w:cs="Arial"/>
          <w:b/>
          <w:u w:val="single"/>
        </w:rPr>
      </w:pPr>
      <w:r>
        <w:rPr>
          <w:rFonts w:eastAsia="Calibri" w:cs="Arial"/>
          <w:b/>
          <w:u w:val="single"/>
        </w:rPr>
        <w:tab/>
      </w:r>
      <w:r>
        <w:rPr>
          <w:rFonts w:eastAsia="Calibri" w:cs="Arial"/>
          <w:b/>
          <w:u w:val="single"/>
        </w:rPr>
        <w:tab/>
      </w:r>
      <w:r>
        <w:rPr>
          <w:rFonts w:eastAsia="Calibri" w:cs="Arial"/>
          <w:b/>
          <w:u w:val="single"/>
        </w:rPr>
        <w:tab/>
      </w:r>
      <w:r w:rsidR="00A9175B">
        <w:rPr>
          <w:rFonts w:eastAsia="Calibri" w:cs="Arial"/>
          <w:b/>
          <w:u w:val="single"/>
        </w:rPr>
        <w:t>___</w:t>
      </w:r>
    </w:p>
    <w:p w:rsidR="000472C2" w:rsidRDefault="006A2611" w:rsidP="006A2611">
      <w:proofErr w:type="gramStart"/>
      <w:r w:rsidRPr="006A2611">
        <w:rPr>
          <w:sz w:val="18"/>
          <w:szCs w:val="18"/>
        </w:rPr>
        <w:t>Author – Andy Wilson/ Fidelma Hannah</w:t>
      </w:r>
      <w:r w:rsidRPr="006A2611">
        <w:rPr>
          <w:sz w:val="18"/>
          <w:szCs w:val="18"/>
        </w:rPr>
        <w:tab/>
      </w:r>
      <w:r w:rsidRPr="006A2611">
        <w:rPr>
          <w:sz w:val="18"/>
          <w:szCs w:val="18"/>
        </w:rPr>
        <w:br/>
        <w:t>Date – June 2011</w:t>
      </w:r>
      <w:r w:rsidRPr="006A2611">
        <w:rPr>
          <w:sz w:val="18"/>
          <w:szCs w:val="18"/>
        </w:rPr>
        <w:br/>
        <w:t>Copyright (c) Loughborough University.</w:t>
      </w:r>
      <w:proofErr w:type="gramEnd"/>
      <w:r w:rsidRPr="006A2611">
        <w:rPr>
          <w:sz w:val="18"/>
          <w:szCs w:val="18"/>
        </w:rPr>
        <w:t xml:space="preserve">  All rights reserved</w:t>
      </w:r>
      <w:r>
        <w:t>.</w:t>
      </w:r>
    </w:p>
    <w:sectPr w:rsidR="000472C2" w:rsidSect="00BC3127">
      <w:headerReference w:type="default" r:id="rId10"/>
      <w:footerReference w:type="default" r:id="rId11"/>
      <w:headerReference w:type="first" r:id="rId12"/>
      <w:pgSz w:w="11906" w:h="16838"/>
      <w:pgMar w:top="1080" w:right="1080" w:bottom="72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2F" w:rsidRDefault="001F192F" w:rsidP="00880210">
      <w:r>
        <w:separator/>
      </w:r>
    </w:p>
  </w:endnote>
  <w:endnote w:type="continuationSeparator" w:id="0">
    <w:p w:rsidR="001F192F" w:rsidRDefault="001F192F" w:rsidP="0088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454"/>
      <w:docPartObj>
        <w:docPartGallery w:val="Page Numbers (Bottom of Page)"/>
        <w:docPartUnique/>
      </w:docPartObj>
    </w:sdtPr>
    <w:sdtEndPr/>
    <w:sdtContent>
      <w:p w:rsidR="00880210" w:rsidRPr="00880210" w:rsidRDefault="00880210">
        <w:pPr>
          <w:pStyle w:val="Footer"/>
          <w:jc w:val="center"/>
          <w:rPr>
            <w:sz w:val="18"/>
          </w:rPr>
        </w:pPr>
      </w:p>
      <w:p w:rsidR="00880210" w:rsidRDefault="00BC31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2F" w:rsidRDefault="001F192F" w:rsidP="00880210">
      <w:r>
        <w:separator/>
      </w:r>
    </w:p>
  </w:footnote>
  <w:footnote w:type="continuationSeparator" w:id="0">
    <w:p w:rsidR="001F192F" w:rsidRDefault="001F192F" w:rsidP="00880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27" w:rsidRPr="00BC3127" w:rsidRDefault="00BC3127" w:rsidP="00BC3127">
    <w:pPr>
      <w:pStyle w:val="Header"/>
      <w:jc w:val="righ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27" w:rsidRPr="00BC3127" w:rsidRDefault="00BC3127" w:rsidP="00BC3127">
    <w:pPr>
      <w:pStyle w:val="Header"/>
      <w:jc w:val="right"/>
      <w:rPr>
        <w:sz w:val="22"/>
        <w:szCs w:val="22"/>
      </w:rPr>
    </w:pPr>
    <w:r w:rsidRPr="00BC3127">
      <w:rPr>
        <w:sz w:val="22"/>
        <w:szCs w:val="22"/>
      </w:rPr>
      <w:t>SEN11-P57</w:t>
    </w:r>
  </w:p>
  <w:p w:rsidR="00BC3127" w:rsidRPr="00BC3127" w:rsidRDefault="00BC3127" w:rsidP="00BC3127">
    <w:pPr>
      <w:pStyle w:val="Header"/>
      <w:jc w:val="right"/>
      <w:rPr>
        <w:sz w:val="22"/>
        <w:szCs w:val="22"/>
      </w:rPr>
    </w:pPr>
    <w:r w:rsidRPr="00BC3127">
      <w:rPr>
        <w:sz w:val="22"/>
        <w:szCs w:val="22"/>
      </w:rP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C11AF"/>
    <w:multiLevelType w:val="hybridMultilevel"/>
    <w:tmpl w:val="2722B090"/>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1">
    <w:nsid w:val="25C359A2"/>
    <w:multiLevelType w:val="hybridMultilevel"/>
    <w:tmpl w:val="B00C6016"/>
    <w:lvl w:ilvl="0" w:tplc="81E0F95C">
      <w:start w:val="1"/>
      <w:numFmt w:val="bullet"/>
      <w:pStyle w:val="Bulleted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63D264F"/>
    <w:multiLevelType w:val="hybridMultilevel"/>
    <w:tmpl w:val="E180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886108"/>
    <w:multiLevelType w:val="hybridMultilevel"/>
    <w:tmpl w:val="08CE3208"/>
    <w:lvl w:ilvl="0" w:tplc="BBD2E6B0">
      <w:start w:val="1"/>
      <w:numFmt w:val="bullet"/>
      <w:pStyle w:val="Cel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FB72E9"/>
    <w:multiLevelType w:val="hybridMultilevel"/>
    <w:tmpl w:val="A982529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FD63005"/>
    <w:multiLevelType w:val="hybridMultilevel"/>
    <w:tmpl w:val="D362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4A7954"/>
    <w:multiLevelType w:val="hybridMultilevel"/>
    <w:tmpl w:val="DA4E64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AF72588"/>
    <w:multiLevelType w:val="hybridMultilevel"/>
    <w:tmpl w:val="2314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14089A"/>
    <w:multiLevelType w:val="hybridMultilevel"/>
    <w:tmpl w:val="5172FF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BEB6938"/>
    <w:multiLevelType w:val="hybridMultilevel"/>
    <w:tmpl w:val="9438C2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7DC7068B"/>
    <w:multiLevelType w:val="hybridMultilevel"/>
    <w:tmpl w:val="1B12E1F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8"/>
  </w:num>
  <w:num w:numId="4">
    <w:abstractNumId w:val="10"/>
  </w:num>
  <w:num w:numId="5">
    <w:abstractNumId w:val="4"/>
  </w:num>
  <w:num w:numId="6">
    <w:abstractNumId w:val="5"/>
  </w:num>
  <w:num w:numId="7">
    <w:abstractNumId w:val="3"/>
  </w:num>
  <w:num w:numId="8">
    <w:abstractNumId w:val="9"/>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B7"/>
    <w:rsid w:val="000472C2"/>
    <w:rsid w:val="00065499"/>
    <w:rsid w:val="000833BA"/>
    <w:rsid w:val="0008462B"/>
    <w:rsid w:val="0009723B"/>
    <w:rsid w:val="000B19C7"/>
    <w:rsid w:val="000E16C6"/>
    <w:rsid w:val="001059E0"/>
    <w:rsid w:val="001357DB"/>
    <w:rsid w:val="001A62A3"/>
    <w:rsid w:val="001A7AB7"/>
    <w:rsid w:val="001D492D"/>
    <w:rsid w:val="001E1A15"/>
    <w:rsid w:val="001F192F"/>
    <w:rsid w:val="001F4BCF"/>
    <w:rsid w:val="00205314"/>
    <w:rsid w:val="002170E5"/>
    <w:rsid w:val="0025627C"/>
    <w:rsid w:val="0028359E"/>
    <w:rsid w:val="002B3F32"/>
    <w:rsid w:val="002B5E00"/>
    <w:rsid w:val="002D3BD1"/>
    <w:rsid w:val="002F3DF8"/>
    <w:rsid w:val="0036546D"/>
    <w:rsid w:val="003658EE"/>
    <w:rsid w:val="0038116E"/>
    <w:rsid w:val="00386033"/>
    <w:rsid w:val="003876A2"/>
    <w:rsid w:val="00396784"/>
    <w:rsid w:val="00397626"/>
    <w:rsid w:val="00442FBA"/>
    <w:rsid w:val="004B5970"/>
    <w:rsid w:val="004D1C75"/>
    <w:rsid w:val="00527362"/>
    <w:rsid w:val="005455BF"/>
    <w:rsid w:val="00577660"/>
    <w:rsid w:val="005847E2"/>
    <w:rsid w:val="005916FC"/>
    <w:rsid w:val="005C4163"/>
    <w:rsid w:val="006109BE"/>
    <w:rsid w:val="0061617F"/>
    <w:rsid w:val="00647D0F"/>
    <w:rsid w:val="00651EE0"/>
    <w:rsid w:val="006663D0"/>
    <w:rsid w:val="00667D15"/>
    <w:rsid w:val="006A2611"/>
    <w:rsid w:val="00717A41"/>
    <w:rsid w:val="00785869"/>
    <w:rsid w:val="007A0A05"/>
    <w:rsid w:val="007A190F"/>
    <w:rsid w:val="007D14E3"/>
    <w:rsid w:val="008359BD"/>
    <w:rsid w:val="0086054B"/>
    <w:rsid w:val="00880210"/>
    <w:rsid w:val="008E234F"/>
    <w:rsid w:val="009619D7"/>
    <w:rsid w:val="009B5580"/>
    <w:rsid w:val="009B5E9A"/>
    <w:rsid w:val="009E1FC1"/>
    <w:rsid w:val="009E3D5A"/>
    <w:rsid w:val="009F1CB9"/>
    <w:rsid w:val="00A658D4"/>
    <w:rsid w:val="00A806FA"/>
    <w:rsid w:val="00A90941"/>
    <w:rsid w:val="00A9175B"/>
    <w:rsid w:val="00AA73F0"/>
    <w:rsid w:val="00AC0CE7"/>
    <w:rsid w:val="00AC141C"/>
    <w:rsid w:val="00AD7A2E"/>
    <w:rsid w:val="00AE5736"/>
    <w:rsid w:val="00AE577E"/>
    <w:rsid w:val="00B04B6B"/>
    <w:rsid w:val="00B94A43"/>
    <w:rsid w:val="00BA13CD"/>
    <w:rsid w:val="00BB7FE5"/>
    <w:rsid w:val="00BC3127"/>
    <w:rsid w:val="00BD4727"/>
    <w:rsid w:val="00BE1BCD"/>
    <w:rsid w:val="00C03D39"/>
    <w:rsid w:val="00C50AFE"/>
    <w:rsid w:val="00C92FE8"/>
    <w:rsid w:val="00CA3621"/>
    <w:rsid w:val="00CD517C"/>
    <w:rsid w:val="00D2379B"/>
    <w:rsid w:val="00D31CF9"/>
    <w:rsid w:val="00D44D7C"/>
    <w:rsid w:val="00D47D47"/>
    <w:rsid w:val="00D50882"/>
    <w:rsid w:val="00D71695"/>
    <w:rsid w:val="00DA0015"/>
    <w:rsid w:val="00DF2D0C"/>
    <w:rsid w:val="00E25EBE"/>
    <w:rsid w:val="00E32204"/>
    <w:rsid w:val="00E7386C"/>
    <w:rsid w:val="00E77A8F"/>
    <w:rsid w:val="00F05C41"/>
    <w:rsid w:val="00F1498E"/>
    <w:rsid w:val="00F2606A"/>
    <w:rsid w:val="00F4748B"/>
    <w:rsid w:val="00F85789"/>
    <w:rsid w:val="00F94E68"/>
    <w:rsid w:val="00FB79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3BA"/>
    <w:rPr>
      <w:rFonts w:ascii="Arial" w:hAnsi="Arial"/>
      <w:sz w:val="24"/>
      <w:szCs w:val="24"/>
    </w:rPr>
  </w:style>
  <w:style w:type="paragraph" w:styleId="Heading1">
    <w:name w:val="heading 1"/>
    <w:basedOn w:val="Normal"/>
    <w:next w:val="Normal"/>
    <w:qFormat/>
    <w:rsid w:val="0008462B"/>
    <w:pPr>
      <w:keepNext/>
      <w:spacing w:before="240" w:after="60"/>
      <w:outlineLvl w:val="0"/>
    </w:pPr>
    <w:rPr>
      <w:rFonts w:cs="Arial"/>
      <w:b/>
      <w:bCs/>
      <w:kern w:val="32"/>
      <w:sz w:val="36"/>
      <w:szCs w:val="36"/>
    </w:rPr>
  </w:style>
  <w:style w:type="paragraph" w:styleId="Heading2">
    <w:name w:val="heading 2"/>
    <w:basedOn w:val="Normal"/>
    <w:next w:val="Normal"/>
    <w:qFormat/>
    <w:rsid w:val="0008462B"/>
    <w:pPr>
      <w:keepNext/>
      <w:spacing w:after="45"/>
      <w:outlineLvl w:val="1"/>
    </w:pPr>
    <w:rPr>
      <w:rFonts w:cs="Arial"/>
      <w:b/>
      <w:bCs/>
      <w:i/>
      <w:iCs/>
      <w:sz w:val="32"/>
      <w:szCs w:val="32"/>
    </w:rPr>
  </w:style>
  <w:style w:type="paragraph" w:styleId="Heading3">
    <w:name w:val="heading 3"/>
    <w:basedOn w:val="Normal"/>
    <w:next w:val="Normal"/>
    <w:qFormat/>
    <w:rsid w:val="0008462B"/>
    <w:pPr>
      <w:keepNext/>
      <w:spacing w:after="30"/>
      <w:outlineLvl w:val="2"/>
    </w:pPr>
    <w:rPr>
      <w:rFonts w:cs="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rsid w:val="0008462B"/>
    <w:pPr>
      <w:numPr>
        <w:numId w:val="1"/>
      </w:numPr>
      <w:spacing w:after="60"/>
    </w:pPr>
  </w:style>
  <w:style w:type="paragraph" w:styleId="ListParagraph">
    <w:name w:val="List Paragraph"/>
    <w:basedOn w:val="Normal"/>
    <w:uiPriority w:val="34"/>
    <w:qFormat/>
    <w:rsid w:val="001A7AB7"/>
    <w:pPr>
      <w:spacing w:after="200" w:line="276" w:lineRule="auto"/>
      <w:ind w:left="720"/>
      <w:contextualSpacing/>
      <w:jc w:val="both"/>
    </w:pPr>
    <w:rPr>
      <w:rFonts w:ascii="Calibri" w:hAnsi="Calibri"/>
      <w:lang w:val="en-US" w:eastAsia="en-US" w:bidi="en-US"/>
    </w:rPr>
  </w:style>
  <w:style w:type="table" w:styleId="TableGrid">
    <w:name w:val="Table Grid"/>
    <w:basedOn w:val="TableNormal"/>
    <w:rsid w:val="00E32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E32204"/>
    <w:pPr>
      <w:ind w:left="283" w:hanging="283"/>
    </w:pPr>
    <w:rPr>
      <w:rFonts w:ascii="Calibri" w:hAnsi="Calibri"/>
      <w:sz w:val="22"/>
      <w:szCs w:val="22"/>
      <w:lang w:eastAsia="en-US"/>
    </w:rPr>
  </w:style>
  <w:style w:type="paragraph" w:customStyle="1" w:styleId="Cellbullets">
    <w:name w:val="Cell bullets"/>
    <w:basedOn w:val="ListParagraph"/>
    <w:qFormat/>
    <w:rsid w:val="005847E2"/>
    <w:pPr>
      <w:numPr>
        <w:numId w:val="7"/>
      </w:numPr>
      <w:spacing w:after="0" w:line="240" w:lineRule="auto"/>
      <w:ind w:left="288" w:hanging="288"/>
      <w:jc w:val="left"/>
    </w:pPr>
    <w:rPr>
      <w:rFonts w:ascii="Arial" w:hAnsi="Arial" w:cs="Arial"/>
      <w:i/>
      <w:sz w:val="22"/>
      <w:szCs w:val="22"/>
    </w:rPr>
  </w:style>
  <w:style w:type="character" w:styleId="CommentReference">
    <w:name w:val="annotation reference"/>
    <w:basedOn w:val="DefaultParagraphFont"/>
    <w:rsid w:val="00C92FE8"/>
    <w:rPr>
      <w:sz w:val="16"/>
      <w:szCs w:val="16"/>
    </w:rPr>
  </w:style>
  <w:style w:type="paragraph" w:styleId="CommentText">
    <w:name w:val="annotation text"/>
    <w:basedOn w:val="Normal"/>
    <w:link w:val="CommentTextChar"/>
    <w:rsid w:val="00C92FE8"/>
    <w:rPr>
      <w:sz w:val="20"/>
      <w:szCs w:val="20"/>
    </w:rPr>
  </w:style>
  <w:style w:type="character" w:customStyle="1" w:styleId="CommentTextChar">
    <w:name w:val="Comment Text Char"/>
    <w:basedOn w:val="DefaultParagraphFont"/>
    <w:link w:val="CommentText"/>
    <w:rsid w:val="00C92FE8"/>
    <w:rPr>
      <w:rFonts w:ascii="Arial" w:hAnsi="Arial"/>
    </w:rPr>
  </w:style>
  <w:style w:type="paragraph" w:styleId="CommentSubject">
    <w:name w:val="annotation subject"/>
    <w:basedOn w:val="CommentText"/>
    <w:next w:val="CommentText"/>
    <w:link w:val="CommentSubjectChar"/>
    <w:rsid w:val="00C92FE8"/>
    <w:rPr>
      <w:b/>
      <w:bCs/>
    </w:rPr>
  </w:style>
  <w:style w:type="character" w:customStyle="1" w:styleId="CommentSubjectChar">
    <w:name w:val="Comment Subject Char"/>
    <w:basedOn w:val="CommentTextChar"/>
    <w:link w:val="CommentSubject"/>
    <w:rsid w:val="00C92FE8"/>
    <w:rPr>
      <w:rFonts w:ascii="Arial" w:hAnsi="Arial"/>
      <w:b/>
      <w:bCs/>
    </w:rPr>
  </w:style>
  <w:style w:type="paragraph" w:styleId="BalloonText">
    <w:name w:val="Balloon Text"/>
    <w:basedOn w:val="Normal"/>
    <w:link w:val="BalloonTextChar"/>
    <w:rsid w:val="00C92FE8"/>
    <w:rPr>
      <w:rFonts w:ascii="Tahoma" w:hAnsi="Tahoma" w:cs="Tahoma"/>
      <w:sz w:val="16"/>
      <w:szCs w:val="16"/>
    </w:rPr>
  </w:style>
  <w:style w:type="character" w:customStyle="1" w:styleId="BalloonTextChar">
    <w:name w:val="Balloon Text Char"/>
    <w:basedOn w:val="DefaultParagraphFont"/>
    <w:link w:val="BalloonText"/>
    <w:rsid w:val="00C92FE8"/>
    <w:rPr>
      <w:rFonts w:ascii="Tahoma" w:hAnsi="Tahoma" w:cs="Tahoma"/>
      <w:sz w:val="16"/>
      <w:szCs w:val="16"/>
    </w:rPr>
  </w:style>
  <w:style w:type="paragraph" w:styleId="Header">
    <w:name w:val="header"/>
    <w:basedOn w:val="Normal"/>
    <w:link w:val="HeaderChar"/>
    <w:rsid w:val="00880210"/>
    <w:pPr>
      <w:tabs>
        <w:tab w:val="center" w:pos="4513"/>
        <w:tab w:val="right" w:pos="9026"/>
      </w:tabs>
    </w:pPr>
  </w:style>
  <w:style w:type="character" w:customStyle="1" w:styleId="HeaderChar">
    <w:name w:val="Header Char"/>
    <w:basedOn w:val="DefaultParagraphFont"/>
    <w:link w:val="Header"/>
    <w:rsid w:val="00880210"/>
    <w:rPr>
      <w:rFonts w:ascii="Arial" w:hAnsi="Arial"/>
      <w:sz w:val="24"/>
      <w:szCs w:val="24"/>
    </w:rPr>
  </w:style>
  <w:style w:type="paragraph" w:styleId="Footer">
    <w:name w:val="footer"/>
    <w:basedOn w:val="Normal"/>
    <w:link w:val="FooterChar"/>
    <w:uiPriority w:val="99"/>
    <w:rsid w:val="00880210"/>
    <w:pPr>
      <w:tabs>
        <w:tab w:val="center" w:pos="4513"/>
        <w:tab w:val="right" w:pos="9026"/>
      </w:tabs>
    </w:pPr>
  </w:style>
  <w:style w:type="character" w:customStyle="1" w:styleId="FooterChar">
    <w:name w:val="Footer Char"/>
    <w:basedOn w:val="DefaultParagraphFont"/>
    <w:link w:val="Footer"/>
    <w:uiPriority w:val="99"/>
    <w:rsid w:val="00880210"/>
    <w:rPr>
      <w:rFonts w:ascii="Arial" w:hAnsi="Arial"/>
      <w:sz w:val="24"/>
      <w:szCs w:val="24"/>
    </w:rPr>
  </w:style>
  <w:style w:type="paragraph" w:customStyle="1" w:styleId="H3">
    <w:name w:val="H3"/>
    <w:basedOn w:val="Normal"/>
    <w:next w:val="Normal"/>
    <w:rsid w:val="006A2611"/>
    <w:pPr>
      <w:keepNext/>
      <w:widowControl w:val="0"/>
      <w:spacing w:before="100" w:after="100"/>
      <w:outlineLvl w:val="3"/>
    </w:pPr>
    <w:rPr>
      <w:rFonts w:ascii="Times New Roman" w:hAnsi="Times New Roman"/>
      <w:b/>
      <w:snapToGrid w:val="0"/>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3BA"/>
    <w:rPr>
      <w:rFonts w:ascii="Arial" w:hAnsi="Arial"/>
      <w:sz w:val="24"/>
      <w:szCs w:val="24"/>
    </w:rPr>
  </w:style>
  <w:style w:type="paragraph" w:styleId="Heading1">
    <w:name w:val="heading 1"/>
    <w:basedOn w:val="Normal"/>
    <w:next w:val="Normal"/>
    <w:qFormat/>
    <w:rsid w:val="0008462B"/>
    <w:pPr>
      <w:keepNext/>
      <w:spacing w:before="240" w:after="60"/>
      <w:outlineLvl w:val="0"/>
    </w:pPr>
    <w:rPr>
      <w:rFonts w:cs="Arial"/>
      <w:b/>
      <w:bCs/>
      <w:kern w:val="32"/>
      <w:sz w:val="36"/>
      <w:szCs w:val="36"/>
    </w:rPr>
  </w:style>
  <w:style w:type="paragraph" w:styleId="Heading2">
    <w:name w:val="heading 2"/>
    <w:basedOn w:val="Normal"/>
    <w:next w:val="Normal"/>
    <w:qFormat/>
    <w:rsid w:val="0008462B"/>
    <w:pPr>
      <w:keepNext/>
      <w:spacing w:after="45"/>
      <w:outlineLvl w:val="1"/>
    </w:pPr>
    <w:rPr>
      <w:rFonts w:cs="Arial"/>
      <w:b/>
      <w:bCs/>
      <w:i/>
      <w:iCs/>
      <w:sz w:val="32"/>
      <w:szCs w:val="32"/>
    </w:rPr>
  </w:style>
  <w:style w:type="paragraph" w:styleId="Heading3">
    <w:name w:val="heading 3"/>
    <w:basedOn w:val="Normal"/>
    <w:next w:val="Normal"/>
    <w:qFormat/>
    <w:rsid w:val="0008462B"/>
    <w:pPr>
      <w:keepNext/>
      <w:spacing w:after="30"/>
      <w:outlineLvl w:val="2"/>
    </w:pPr>
    <w:rPr>
      <w:rFonts w:cs="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rsid w:val="0008462B"/>
    <w:pPr>
      <w:numPr>
        <w:numId w:val="1"/>
      </w:numPr>
      <w:spacing w:after="60"/>
    </w:pPr>
  </w:style>
  <w:style w:type="paragraph" w:styleId="ListParagraph">
    <w:name w:val="List Paragraph"/>
    <w:basedOn w:val="Normal"/>
    <w:uiPriority w:val="34"/>
    <w:qFormat/>
    <w:rsid w:val="001A7AB7"/>
    <w:pPr>
      <w:spacing w:after="200" w:line="276" w:lineRule="auto"/>
      <w:ind w:left="720"/>
      <w:contextualSpacing/>
      <w:jc w:val="both"/>
    </w:pPr>
    <w:rPr>
      <w:rFonts w:ascii="Calibri" w:hAnsi="Calibri"/>
      <w:lang w:val="en-US" w:eastAsia="en-US" w:bidi="en-US"/>
    </w:rPr>
  </w:style>
  <w:style w:type="table" w:styleId="TableGrid">
    <w:name w:val="Table Grid"/>
    <w:basedOn w:val="TableNormal"/>
    <w:rsid w:val="00E32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E32204"/>
    <w:pPr>
      <w:ind w:left="283" w:hanging="283"/>
    </w:pPr>
    <w:rPr>
      <w:rFonts w:ascii="Calibri" w:hAnsi="Calibri"/>
      <w:sz w:val="22"/>
      <w:szCs w:val="22"/>
      <w:lang w:eastAsia="en-US"/>
    </w:rPr>
  </w:style>
  <w:style w:type="paragraph" w:customStyle="1" w:styleId="Cellbullets">
    <w:name w:val="Cell bullets"/>
    <w:basedOn w:val="ListParagraph"/>
    <w:qFormat/>
    <w:rsid w:val="005847E2"/>
    <w:pPr>
      <w:numPr>
        <w:numId w:val="7"/>
      </w:numPr>
      <w:spacing w:after="0" w:line="240" w:lineRule="auto"/>
      <w:ind w:left="288" w:hanging="288"/>
      <w:jc w:val="left"/>
    </w:pPr>
    <w:rPr>
      <w:rFonts w:ascii="Arial" w:hAnsi="Arial" w:cs="Arial"/>
      <w:i/>
      <w:sz w:val="22"/>
      <w:szCs w:val="22"/>
    </w:rPr>
  </w:style>
  <w:style w:type="character" w:styleId="CommentReference">
    <w:name w:val="annotation reference"/>
    <w:basedOn w:val="DefaultParagraphFont"/>
    <w:rsid w:val="00C92FE8"/>
    <w:rPr>
      <w:sz w:val="16"/>
      <w:szCs w:val="16"/>
    </w:rPr>
  </w:style>
  <w:style w:type="paragraph" w:styleId="CommentText">
    <w:name w:val="annotation text"/>
    <w:basedOn w:val="Normal"/>
    <w:link w:val="CommentTextChar"/>
    <w:rsid w:val="00C92FE8"/>
    <w:rPr>
      <w:sz w:val="20"/>
      <w:szCs w:val="20"/>
    </w:rPr>
  </w:style>
  <w:style w:type="character" w:customStyle="1" w:styleId="CommentTextChar">
    <w:name w:val="Comment Text Char"/>
    <w:basedOn w:val="DefaultParagraphFont"/>
    <w:link w:val="CommentText"/>
    <w:rsid w:val="00C92FE8"/>
    <w:rPr>
      <w:rFonts w:ascii="Arial" w:hAnsi="Arial"/>
    </w:rPr>
  </w:style>
  <w:style w:type="paragraph" w:styleId="CommentSubject">
    <w:name w:val="annotation subject"/>
    <w:basedOn w:val="CommentText"/>
    <w:next w:val="CommentText"/>
    <w:link w:val="CommentSubjectChar"/>
    <w:rsid w:val="00C92FE8"/>
    <w:rPr>
      <w:b/>
      <w:bCs/>
    </w:rPr>
  </w:style>
  <w:style w:type="character" w:customStyle="1" w:styleId="CommentSubjectChar">
    <w:name w:val="Comment Subject Char"/>
    <w:basedOn w:val="CommentTextChar"/>
    <w:link w:val="CommentSubject"/>
    <w:rsid w:val="00C92FE8"/>
    <w:rPr>
      <w:rFonts w:ascii="Arial" w:hAnsi="Arial"/>
      <w:b/>
      <w:bCs/>
    </w:rPr>
  </w:style>
  <w:style w:type="paragraph" w:styleId="BalloonText">
    <w:name w:val="Balloon Text"/>
    <w:basedOn w:val="Normal"/>
    <w:link w:val="BalloonTextChar"/>
    <w:rsid w:val="00C92FE8"/>
    <w:rPr>
      <w:rFonts w:ascii="Tahoma" w:hAnsi="Tahoma" w:cs="Tahoma"/>
      <w:sz w:val="16"/>
      <w:szCs w:val="16"/>
    </w:rPr>
  </w:style>
  <w:style w:type="character" w:customStyle="1" w:styleId="BalloonTextChar">
    <w:name w:val="Balloon Text Char"/>
    <w:basedOn w:val="DefaultParagraphFont"/>
    <w:link w:val="BalloonText"/>
    <w:rsid w:val="00C92FE8"/>
    <w:rPr>
      <w:rFonts w:ascii="Tahoma" w:hAnsi="Tahoma" w:cs="Tahoma"/>
      <w:sz w:val="16"/>
      <w:szCs w:val="16"/>
    </w:rPr>
  </w:style>
  <w:style w:type="paragraph" w:styleId="Header">
    <w:name w:val="header"/>
    <w:basedOn w:val="Normal"/>
    <w:link w:val="HeaderChar"/>
    <w:rsid w:val="00880210"/>
    <w:pPr>
      <w:tabs>
        <w:tab w:val="center" w:pos="4513"/>
        <w:tab w:val="right" w:pos="9026"/>
      </w:tabs>
    </w:pPr>
  </w:style>
  <w:style w:type="character" w:customStyle="1" w:styleId="HeaderChar">
    <w:name w:val="Header Char"/>
    <w:basedOn w:val="DefaultParagraphFont"/>
    <w:link w:val="Header"/>
    <w:rsid w:val="00880210"/>
    <w:rPr>
      <w:rFonts w:ascii="Arial" w:hAnsi="Arial"/>
      <w:sz w:val="24"/>
      <w:szCs w:val="24"/>
    </w:rPr>
  </w:style>
  <w:style w:type="paragraph" w:styleId="Footer">
    <w:name w:val="footer"/>
    <w:basedOn w:val="Normal"/>
    <w:link w:val="FooterChar"/>
    <w:uiPriority w:val="99"/>
    <w:rsid w:val="00880210"/>
    <w:pPr>
      <w:tabs>
        <w:tab w:val="center" w:pos="4513"/>
        <w:tab w:val="right" w:pos="9026"/>
      </w:tabs>
    </w:pPr>
  </w:style>
  <w:style w:type="character" w:customStyle="1" w:styleId="FooterChar">
    <w:name w:val="Footer Char"/>
    <w:basedOn w:val="DefaultParagraphFont"/>
    <w:link w:val="Footer"/>
    <w:uiPriority w:val="99"/>
    <w:rsid w:val="00880210"/>
    <w:rPr>
      <w:rFonts w:ascii="Arial" w:hAnsi="Arial"/>
      <w:sz w:val="24"/>
      <w:szCs w:val="24"/>
    </w:rPr>
  </w:style>
  <w:style w:type="paragraph" w:customStyle="1" w:styleId="H3">
    <w:name w:val="H3"/>
    <w:basedOn w:val="Normal"/>
    <w:next w:val="Normal"/>
    <w:rsid w:val="006A2611"/>
    <w:pPr>
      <w:keepNext/>
      <w:widowControl w:val="0"/>
      <w:spacing w:before="100" w:after="100"/>
      <w:outlineLvl w:val="3"/>
    </w:pPr>
    <w:rPr>
      <w:rFonts w:ascii="Times New Roman" w:hAnsi="Times New Roman"/>
      <w:b/>
      <w:snapToGrid w:val="0"/>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56839">
      <w:bodyDiv w:val="1"/>
      <w:marLeft w:val="0"/>
      <w:marRight w:val="0"/>
      <w:marTop w:val="0"/>
      <w:marBottom w:val="0"/>
      <w:divBdr>
        <w:top w:val="none" w:sz="0" w:space="0" w:color="auto"/>
        <w:left w:val="none" w:sz="0" w:space="0" w:color="auto"/>
        <w:bottom w:val="none" w:sz="0" w:space="0" w:color="auto"/>
        <w:right w:val="none" w:sz="0" w:space="0" w:color="auto"/>
      </w:divBdr>
    </w:div>
    <w:div w:id="1229265169">
      <w:bodyDiv w:val="1"/>
      <w:marLeft w:val="0"/>
      <w:marRight w:val="0"/>
      <w:marTop w:val="0"/>
      <w:marBottom w:val="0"/>
      <w:divBdr>
        <w:top w:val="none" w:sz="0" w:space="0" w:color="auto"/>
        <w:left w:val="none" w:sz="0" w:space="0" w:color="auto"/>
        <w:bottom w:val="none" w:sz="0" w:space="0" w:color="auto"/>
        <w:right w:val="none" w:sz="0" w:space="0" w:color="auto"/>
      </w:divBdr>
    </w:div>
    <w:div w:id="19306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daw\Application%20Data\Microsoft\Templates\AW%20portrait%20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F03D-93B6-4AC2-9D43-333C413C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 portrait std</Template>
  <TotalTime>2</TotalTime>
  <Pages>5</Pages>
  <Words>1797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Heading 1</vt:lpstr>
    </vt:vector>
  </TitlesOfParts>
  <Company>Loughborough University</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addaw</dc:creator>
  <cp:lastModifiedBy>Staff/Research Student</cp:lastModifiedBy>
  <cp:revision>3</cp:revision>
  <cp:lastPrinted>2011-07-05T07:27:00Z</cp:lastPrinted>
  <dcterms:created xsi:type="dcterms:W3CDTF">2011-07-05T09:04:00Z</dcterms:created>
  <dcterms:modified xsi:type="dcterms:W3CDTF">2011-07-05T09:05:00Z</dcterms:modified>
</cp:coreProperties>
</file>