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AD" w:rsidRPr="000D7BFD" w:rsidRDefault="007070AD" w:rsidP="007070AD">
      <w:pPr>
        <w:jc w:val="right"/>
        <w:rPr>
          <w:rFonts w:ascii="Arial" w:hAnsi="Arial" w:cs="Arial"/>
          <w:b/>
          <w:sz w:val="24"/>
          <w:szCs w:val="24"/>
        </w:rPr>
      </w:pPr>
      <w:r w:rsidRPr="000D7BFD">
        <w:rPr>
          <w:rFonts w:ascii="Arial" w:hAnsi="Arial" w:cs="Arial"/>
          <w:noProof/>
          <w:sz w:val="24"/>
          <w:szCs w:val="24"/>
          <w:lang w:eastAsia="en-GB"/>
        </w:rPr>
        <w:drawing>
          <wp:inline distT="0" distB="0" distL="0" distR="0">
            <wp:extent cx="1943100" cy="485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43100" cy="485775"/>
                    </a:xfrm>
                    <a:prstGeom prst="rect">
                      <a:avLst/>
                    </a:prstGeom>
                    <a:noFill/>
                    <a:ln w="9525">
                      <a:noFill/>
                      <a:miter lim="800000"/>
                      <a:headEnd/>
                      <a:tailEnd/>
                    </a:ln>
                  </pic:spPr>
                </pic:pic>
              </a:graphicData>
            </a:graphic>
          </wp:inline>
        </w:drawing>
      </w:r>
    </w:p>
    <w:p w:rsidR="00553AA9" w:rsidRPr="00D73A09" w:rsidRDefault="00A0285D" w:rsidP="00553AA9">
      <w:pPr>
        <w:pStyle w:val="H3"/>
        <w:keepNext w:val="0"/>
        <w:tabs>
          <w:tab w:val="left" w:pos="1170"/>
        </w:tabs>
        <w:outlineLvl w:val="9"/>
        <w:rPr>
          <w:rFonts w:ascii="Arial" w:hAnsi="Arial" w:cs="Arial"/>
          <w:sz w:val="20"/>
        </w:rPr>
      </w:pPr>
      <w:r>
        <w:rPr>
          <w:rFonts w:ascii="Arial" w:hAnsi="Arial" w:cs="Arial"/>
          <w:sz w:val="36"/>
        </w:rPr>
        <w:t>Senate</w:t>
      </w:r>
    </w:p>
    <w:p w:rsidR="00553AA9" w:rsidRDefault="00553AA9" w:rsidP="00553AA9">
      <w:pPr>
        <w:spacing w:after="0"/>
        <w:ind w:left="1077" w:right="-62" w:hanging="1077"/>
        <w:rPr>
          <w:b/>
          <w:sz w:val="20"/>
        </w:rPr>
      </w:pPr>
      <w:r w:rsidRPr="002B676A">
        <w:rPr>
          <w:rFonts w:ascii="Arial" w:hAnsi="Arial" w:cs="Arial"/>
          <w:b/>
          <w:sz w:val="26"/>
        </w:rPr>
        <w:t>Subject:</w:t>
      </w:r>
      <w:r>
        <w:rPr>
          <w:rFonts w:ascii="Arial" w:hAnsi="Arial" w:cs="Arial"/>
          <w:sz w:val="26"/>
        </w:rPr>
        <w:tab/>
      </w:r>
      <w:r w:rsidR="0092419E">
        <w:rPr>
          <w:rFonts w:ascii="Arial" w:hAnsi="Arial" w:cs="Arial"/>
          <w:sz w:val="26"/>
        </w:rPr>
        <w:t xml:space="preserve">Undergraduate </w:t>
      </w:r>
      <w:r w:rsidR="00A0285D">
        <w:rPr>
          <w:rFonts w:ascii="Arial" w:hAnsi="Arial" w:cs="Arial"/>
          <w:sz w:val="26"/>
        </w:rPr>
        <w:t xml:space="preserve">Tuition </w:t>
      </w:r>
      <w:r>
        <w:rPr>
          <w:rFonts w:ascii="Arial" w:hAnsi="Arial"/>
        </w:rPr>
        <w:t>Fees and Access Agreement</w:t>
      </w:r>
    </w:p>
    <w:p w:rsidR="00553AA9" w:rsidRDefault="00553AA9" w:rsidP="00553AA9">
      <w:pPr>
        <w:spacing w:after="0"/>
        <w:ind w:left="1077" w:right="-62" w:hanging="1077"/>
        <w:rPr>
          <w:b/>
          <w:sz w:val="20"/>
        </w:rPr>
      </w:pPr>
    </w:p>
    <w:p w:rsidR="00553AA9" w:rsidRPr="002B676A" w:rsidRDefault="00553AA9" w:rsidP="00553AA9">
      <w:pPr>
        <w:spacing w:after="0"/>
        <w:ind w:left="1080" w:right="-64" w:hanging="1080"/>
        <w:rPr>
          <w:rFonts w:ascii="Arial" w:hAnsi="Arial"/>
        </w:rPr>
      </w:pPr>
      <w:r>
        <w:rPr>
          <w:rFonts w:ascii="Arial" w:hAnsi="Arial" w:cs="Arial"/>
          <w:b/>
          <w:sz w:val="26"/>
        </w:rPr>
        <w:t>Origin:</w:t>
      </w:r>
      <w:r>
        <w:rPr>
          <w:rFonts w:ascii="Arial" w:hAnsi="Arial" w:cs="Arial"/>
          <w:b/>
          <w:sz w:val="26"/>
        </w:rPr>
        <w:tab/>
      </w:r>
      <w:r>
        <w:rPr>
          <w:rFonts w:ascii="Arial" w:hAnsi="Arial"/>
        </w:rPr>
        <w:t>Academic Registrar</w:t>
      </w:r>
    </w:p>
    <w:p w:rsidR="00553AA9" w:rsidRPr="002B676A" w:rsidRDefault="00553AA9" w:rsidP="00553AA9">
      <w:pPr>
        <w:spacing w:after="0"/>
        <w:ind w:left="1080" w:right="-64" w:hanging="1080"/>
        <w:rPr>
          <w:rFonts w:ascii="Arial" w:hAnsi="Arial"/>
        </w:rPr>
      </w:pPr>
      <w:r w:rsidRPr="002B676A">
        <w:rPr>
          <w:rFonts w:ascii="Arial" w:hAnsi="Arial"/>
        </w:rPr>
        <w:tab/>
        <w:t>Director of Student Recruitment and Admissions</w:t>
      </w:r>
    </w:p>
    <w:p w:rsidR="00553AA9" w:rsidRDefault="00553AA9" w:rsidP="00553AA9">
      <w:pPr>
        <w:tabs>
          <w:tab w:val="left" w:pos="1170"/>
          <w:tab w:val="left" w:pos="8910"/>
        </w:tabs>
        <w:rPr>
          <w:rFonts w:ascii="Arial" w:hAnsi="Arial" w:cs="Arial"/>
          <w:b/>
          <w:sz w:val="28"/>
          <w:u w:val="single"/>
        </w:rPr>
      </w:pPr>
      <w:r>
        <w:rPr>
          <w:rFonts w:ascii="Arial" w:hAnsi="Arial" w:cs="Arial"/>
          <w:b/>
          <w:sz w:val="28"/>
          <w:u w:val="single"/>
        </w:rPr>
        <w:tab/>
      </w:r>
      <w:r>
        <w:rPr>
          <w:rFonts w:ascii="Arial" w:hAnsi="Arial" w:cs="Arial"/>
          <w:b/>
          <w:sz w:val="28"/>
          <w:u w:val="single"/>
        </w:rPr>
        <w:tab/>
      </w:r>
    </w:p>
    <w:p w:rsidR="00354B1F" w:rsidRDefault="00553AA9" w:rsidP="00354B1F">
      <w:pPr>
        <w:tabs>
          <w:tab w:val="left" w:pos="1170"/>
        </w:tabs>
        <w:outlineLvl w:val="0"/>
        <w:rPr>
          <w:rFonts w:ascii="Arial" w:hAnsi="Arial" w:cs="Arial"/>
          <w:b/>
          <w:sz w:val="26"/>
        </w:rPr>
      </w:pPr>
      <w:r w:rsidRPr="002C1A13">
        <w:rPr>
          <w:rFonts w:ascii="Arial" w:hAnsi="Arial" w:cs="Arial"/>
          <w:b/>
          <w:sz w:val="26"/>
        </w:rPr>
        <w:t>Executive Summary:</w:t>
      </w:r>
      <w:r>
        <w:rPr>
          <w:rFonts w:ascii="Arial" w:hAnsi="Arial" w:cs="Arial"/>
          <w:b/>
          <w:sz w:val="26"/>
        </w:rPr>
        <w:t xml:space="preserve"> </w:t>
      </w:r>
    </w:p>
    <w:p w:rsidR="00354B1F" w:rsidRDefault="00354B1F" w:rsidP="00354B1F">
      <w:pPr>
        <w:tabs>
          <w:tab w:val="left" w:pos="1170"/>
        </w:tabs>
        <w:outlineLvl w:val="0"/>
        <w:rPr>
          <w:rFonts w:ascii="Arial" w:hAnsi="Arial" w:cs="Arial"/>
        </w:rPr>
      </w:pPr>
      <w:r>
        <w:rPr>
          <w:rFonts w:ascii="Arial" w:hAnsi="Arial" w:cs="Arial"/>
        </w:rPr>
        <w:t>This report summarises key information</w:t>
      </w:r>
      <w:r w:rsidR="00A0285D">
        <w:rPr>
          <w:rFonts w:ascii="Arial" w:hAnsi="Arial" w:cs="Arial"/>
        </w:rPr>
        <w:t xml:space="preserve"> and progress towards </w:t>
      </w:r>
      <w:r>
        <w:rPr>
          <w:rFonts w:ascii="Arial" w:hAnsi="Arial" w:cs="Arial"/>
        </w:rPr>
        <w:t>the setting of tuition fees under the new funding regime and the submission of the University’s Access Agreement for 2012/13</w:t>
      </w:r>
      <w:r w:rsidR="00AD1010">
        <w:rPr>
          <w:rFonts w:ascii="Arial" w:hAnsi="Arial" w:cs="Arial"/>
        </w:rPr>
        <w:t xml:space="preserve"> to enable the University to charge </w:t>
      </w:r>
      <w:r w:rsidR="008E1E5E">
        <w:rPr>
          <w:rFonts w:ascii="Arial" w:hAnsi="Arial" w:cs="Arial"/>
        </w:rPr>
        <w:t xml:space="preserve">annual tuition fees </w:t>
      </w:r>
      <w:r w:rsidR="00AD1010">
        <w:rPr>
          <w:rFonts w:ascii="Arial" w:hAnsi="Arial" w:cs="Arial"/>
        </w:rPr>
        <w:t>above £6,000</w:t>
      </w:r>
      <w:r w:rsidR="008E1E5E">
        <w:rPr>
          <w:rFonts w:ascii="Arial" w:hAnsi="Arial" w:cs="Arial"/>
        </w:rPr>
        <w:t xml:space="preserve"> for UK/EU students taking full-time undergraduate programmes.</w:t>
      </w:r>
    </w:p>
    <w:p w:rsidR="00A0285D" w:rsidRDefault="00ED6DA8" w:rsidP="00A0285D">
      <w:pPr>
        <w:tabs>
          <w:tab w:val="left" w:pos="1170"/>
        </w:tabs>
        <w:outlineLvl w:val="0"/>
        <w:rPr>
          <w:rFonts w:ascii="Arial" w:hAnsi="Arial" w:cs="Arial"/>
          <w:b/>
          <w:sz w:val="26"/>
        </w:rPr>
      </w:pPr>
      <w:r>
        <w:rPr>
          <w:rFonts w:ascii="Arial" w:hAnsi="Arial" w:cs="Arial"/>
          <w:b/>
          <w:sz w:val="26"/>
        </w:rPr>
        <w:t>Senate</w:t>
      </w:r>
      <w:r w:rsidR="00553AA9" w:rsidRPr="002C1A13">
        <w:rPr>
          <w:rFonts w:ascii="Arial" w:hAnsi="Arial" w:cs="Arial"/>
          <w:b/>
          <w:sz w:val="26"/>
        </w:rPr>
        <w:t xml:space="preserve"> Action Required:</w:t>
      </w:r>
    </w:p>
    <w:p w:rsidR="00553AA9" w:rsidRPr="002B676A" w:rsidRDefault="00A0285D" w:rsidP="00A0285D">
      <w:pPr>
        <w:tabs>
          <w:tab w:val="left" w:pos="1170"/>
        </w:tabs>
        <w:outlineLvl w:val="0"/>
        <w:rPr>
          <w:rFonts w:ascii="Arial" w:hAnsi="Arial" w:cs="Arial"/>
          <w:b/>
          <w:sz w:val="26"/>
        </w:rPr>
      </w:pPr>
      <w:r w:rsidRPr="00A0285D">
        <w:rPr>
          <w:rFonts w:ascii="Arial" w:hAnsi="Arial" w:cs="Arial"/>
          <w:sz w:val="26"/>
        </w:rPr>
        <w:t>Senate</w:t>
      </w:r>
      <w:r w:rsidR="00553AA9">
        <w:rPr>
          <w:rFonts w:ascii="Arial" w:hAnsi="Arial"/>
        </w:rPr>
        <w:t xml:space="preserve"> is asked to </w:t>
      </w:r>
      <w:r>
        <w:rPr>
          <w:rFonts w:ascii="Arial" w:hAnsi="Arial"/>
        </w:rPr>
        <w:t>note and comment</w:t>
      </w:r>
      <w:r w:rsidR="008E1E5E">
        <w:rPr>
          <w:rFonts w:ascii="Arial" w:hAnsi="Arial"/>
        </w:rPr>
        <w:t>.</w:t>
      </w:r>
    </w:p>
    <w:p w:rsidR="00553AA9" w:rsidRPr="00354B1F" w:rsidRDefault="00553AA9" w:rsidP="00354B1F">
      <w:pPr>
        <w:tabs>
          <w:tab w:val="left" w:pos="1170"/>
          <w:tab w:val="left" w:pos="8910"/>
        </w:tabs>
        <w:spacing w:after="0"/>
        <w:rPr>
          <w:rFonts w:ascii="Arial" w:hAnsi="Arial" w:cs="Arial"/>
          <w:b/>
          <w:sz w:val="12"/>
          <w:szCs w:val="12"/>
          <w:u w:val="single"/>
        </w:rPr>
      </w:pPr>
      <w:r w:rsidRPr="00354B1F">
        <w:rPr>
          <w:rFonts w:ascii="Arial" w:hAnsi="Arial" w:cs="Arial"/>
          <w:b/>
          <w:sz w:val="12"/>
          <w:szCs w:val="12"/>
          <w:u w:val="single"/>
        </w:rPr>
        <w:tab/>
      </w:r>
      <w:r w:rsidRPr="00354B1F">
        <w:rPr>
          <w:rFonts w:ascii="Arial" w:hAnsi="Arial" w:cs="Arial"/>
          <w:b/>
          <w:sz w:val="12"/>
          <w:szCs w:val="12"/>
          <w:u w:val="single"/>
        </w:rPr>
        <w:tab/>
      </w:r>
    </w:p>
    <w:p w:rsidR="007070AD" w:rsidRDefault="007070AD" w:rsidP="007070AD">
      <w:pPr>
        <w:spacing w:after="0"/>
        <w:jc w:val="both"/>
        <w:rPr>
          <w:rFonts w:ascii="Arial" w:hAnsi="Arial" w:cs="Arial"/>
          <w:b/>
          <w:sz w:val="24"/>
          <w:szCs w:val="24"/>
        </w:rPr>
      </w:pPr>
    </w:p>
    <w:p w:rsidR="00DA0FE0" w:rsidRDefault="00DA0FE0" w:rsidP="00DA0FE0">
      <w:pPr>
        <w:spacing w:after="0"/>
        <w:jc w:val="both"/>
        <w:rPr>
          <w:rFonts w:ascii="Arial" w:hAnsi="Arial" w:cs="Arial"/>
          <w:b/>
        </w:rPr>
      </w:pPr>
      <w:r w:rsidRPr="00BA1A93">
        <w:rPr>
          <w:rFonts w:ascii="Arial" w:hAnsi="Arial" w:cs="Arial"/>
          <w:b/>
        </w:rPr>
        <w:t>1.</w:t>
      </w:r>
      <w:r w:rsidRPr="00BA1A93">
        <w:rPr>
          <w:rFonts w:ascii="Arial" w:hAnsi="Arial" w:cs="Arial"/>
          <w:b/>
        </w:rPr>
        <w:tab/>
        <w:t>Background</w:t>
      </w:r>
    </w:p>
    <w:p w:rsidR="00D73A09" w:rsidRPr="00BA1A93" w:rsidRDefault="00D73A09" w:rsidP="00DA0FE0">
      <w:pPr>
        <w:spacing w:after="0"/>
        <w:jc w:val="both"/>
        <w:rPr>
          <w:rFonts w:ascii="Arial" w:hAnsi="Arial" w:cs="Arial"/>
          <w:b/>
        </w:rPr>
      </w:pPr>
    </w:p>
    <w:p w:rsidR="00DA0FE0" w:rsidRPr="00BA1A93" w:rsidRDefault="00DA0FE0" w:rsidP="00DA0FE0">
      <w:pPr>
        <w:autoSpaceDE w:val="0"/>
        <w:autoSpaceDN w:val="0"/>
        <w:adjustRightInd w:val="0"/>
        <w:ind w:left="720"/>
        <w:rPr>
          <w:rFonts w:ascii="Arial" w:eastAsia="Calibri" w:hAnsi="Arial" w:cs="Arial"/>
        </w:rPr>
      </w:pPr>
      <w:r w:rsidRPr="00BA1A93">
        <w:rPr>
          <w:rFonts w:ascii="Arial" w:eastAsia="Calibri" w:hAnsi="Arial" w:cs="Arial"/>
        </w:rPr>
        <w:t>The University submitted its first Access Agreement to OFFA in December 2004 to enable it to charge tuition fees of £3,000 from the 2006 intake. The original Access Agreement has undergone some minor changes since that time, but the basic structure remains as follows:</w:t>
      </w:r>
    </w:p>
    <w:p w:rsidR="00DA0FE0" w:rsidRPr="00BA1A93" w:rsidRDefault="00DA0FE0" w:rsidP="00DA0FE0">
      <w:pPr>
        <w:pStyle w:val="ListParagraph"/>
        <w:numPr>
          <w:ilvl w:val="0"/>
          <w:numId w:val="6"/>
        </w:numPr>
        <w:autoSpaceDE w:val="0"/>
        <w:autoSpaceDN w:val="0"/>
        <w:adjustRightInd w:val="0"/>
        <w:spacing w:after="0"/>
        <w:ind w:left="1080"/>
        <w:rPr>
          <w:rFonts w:ascii="Arial" w:eastAsia="Calibri" w:hAnsi="Arial" w:cs="Arial"/>
        </w:rPr>
      </w:pPr>
      <w:r w:rsidRPr="00BA1A93">
        <w:rPr>
          <w:rFonts w:ascii="Arial" w:eastAsia="Calibri" w:hAnsi="Arial" w:cs="Arial"/>
        </w:rPr>
        <w:t xml:space="preserve">Statement of </w:t>
      </w:r>
      <w:r>
        <w:rPr>
          <w:rFonts w:ascii="Arial" w:eastAsia="Calibri" w:hAnsi="Arial" w:cs="Arial"/>
        </w:rPr>
        <w:t>f</w:t>
      </w:r>
      <w:r w:rsidRPr="00BA1A93">
        <w:rPr>
          <w:rFonts w:ascii="Arial" w:eastAsia="Calibri" w:hAnsi="Arial" w:cs="Arial"/>
        </w:rPr>
        <w:t xml:space="preserve">ees and </w:t>
      </w:r>
      <w:r>
        <w:rPr>
          <w:rFonts w:ascii="Arial" w:eastAsia="Calibri" w:hAnsi="Arial" w:cs="Arial"/>
        </w:rPr>
        <w:t>b</w:t>
      </w:r>
      <w:r w:rsidRPr="00BA1A93">
        <w:rPr>
          <w:rFonts w:ascii="Arial" w:eastAsia="Calibri" w:hAnsi="Arial" w:cs="Arial"/>
        </w:rPr>
        <w:t xml:space="preserve">ursary </w:t>
      </w:r>
      <w:r>
        <w:rPr>
          <w:rFonts w:ascii="Arial" w:eastAsia="Calibri" w:hAnsi="Arial" w:cs="Arial"/>
        </w:rPr>
        <w:t>s</w:t>
      </w:r>
      <w:r w:rsidRPr="00BA1A93">
        <w:rPr>
          <w:rFonts w:ascii="Arial" w:eastAsia="Calibri" w:hAnsi="Arial" w:cs="Arial"/>
        </w:rPr>
        <w:t xml:space="preserve">cheme – aimed at ensuring that the increased cost </w:t>
      </w:r>
      <w:r w:rsidR="00AD1010">
        <w:rPr>
          <w:rFonts w:ascii="Arial" w:eastAsia="Calibri" w:hAnsi="Arial" w:cs="Arial"/>
        </w:rPr>
        <w:t>does</w:t>
      </w:r>
      <w:r w:rsidRPr="00BA1A93">
        <w:rPr>
          <w:rFonts w:ascii="Arial" w:eastAsia="Calibri" w:hAnsi="Arial" w:cs="Arial"/>
        </w:rPr>
        <w:t xml:space="preserve"> not deter applicants from less well off backgrounds</w:t>
      </w:r>
    </w:p>
    <w:p w:rsidR="00DA0FE0" w:rsidRPr="00BA1A93" w:rsidRDefault="00DA0FE0" w:rsidP="00DA0FE0">
      <w:pPr>
        <w:pStyle w:val="ListParagraph"/>
        <w:numPr>
          <w:ilvl w:val="0"/>
          <w:numId w:val="6"/>
        </w:numPr>
        <w:autoSpaceDE w:val="0"/>
        <w:autoSpaceDN w:val="0"/>
        <w:adjustRightInd w:val="0"/>
        <w:spacing w:after="0"/>
        <w:ind w:left="1080"/>
        <w:rPr>
          <w:rFonts w:ascii="Arial" w:eastAsia="Calibri" w:hAnsi="Arial" w:cs="Arial"/>
        </w:rPr>
      </w:pPr>
      <w:r w:rsidRPr="00BA1A93">
        <w:rPr>
          <w:rFonts w:ascii="Arial" w:eastAsia="Calibri" w:hAnsi="Arial" w:cs="Arial"/>
        </w:rPr>
        <w:t>Outline of current and future plans for widening participation, including a commitment to additional expenditure on outreach work from the additional tuition fee income</w:t>
      </w:r>
    </w:p>
    <w:p w:rsidR="00DA0FE0" w:rsidRPr="00BA1A93" w:rsidRDefault="00DA0FE0" w:rsidP="00DA0FE0">
      <w:pPr>
        <w:pStyle w:val="ListParagraph"/>
        <w:numPr>
          <w:ilvl w:val="0"/>
          <w:numId w:val="6"/>
        </w:numPr>
        <w:autoSpaceDE w:val="0"/>
        <w:autoSpaceDN w:val="0"/>
        <w:adjustRightInd w:val="0"/>
        <w:ind w:left="1080"/>
        <w:rPr>
          <w:rFonts w:ascii="Arial" w:eastAsia="Calibri" w:hAnsi="Arial" w:cs="Arial"/>
        </w:rPr>
      </w:pPr>
      <w:r w:rsidRPr="00BA1A93">
        <w:rPr>
          <w:rFonts w:ascii="Arial" w:eastAsia="Calibri" w:hAnsi="Arial" w:cs="Arial"/>
        </w:rPr>
        <w:t xml:space="preserve">Statement of priority areas </w:t>
      </w:r>
      <w:r w:rsidR="008E1E5E">
        <w:rPr>
          <w:rFonts w:ascii="Arial" w:eastAsia="Calibri" w:hAnsi="Arial" w:cs="Arial"/>
        </w:rPr>
        <w:t xml:space="preserve">for outreach </w:t>
      </w:r>
      <w:r w:rsidRPr="00BA1A93">
        <w:rPr>
          <w:rFonts w:ascii="Arial" w:eastAsia="Calibri" w:hAnsi="Arial" w:cs="Arial"/>
        </w:rPr>
        <w:t xml:space="preserve">and specific milestones to be achieved </w:t>
      </w:r>
    </w:p>
    <w:p w:rsidR="00DA0FE0" w:rsidRPr="00BA1A93" w:rsidRDefault="00DA0FE0" w:rsidP="00DA0FE0">
      <w:pPr>
        <w:ind w:left="720"/>
        <w:rPr>
          <w:rFonts w:ascii="Arial" w:eastAsia="Calibri" w:hAnsi="Arial" w:cs="Arial"/>
        </w:rPr>
      </w:pPr>
      <w:r w:rsidRPr="00BA1A93">
        <w:rPr>
          <w:rFonts w:ascii="Arial" w:eastAsia="Calibri" w:hAnsi="Arial" w:cs="Arial"/>
        </w:rPr>
        <w:t>In 2009, HEFCE required institutions to provide Widening Participation Strategic Assessments. This sets out the institution’s strategy for widening participation with some critical evaluation of the challenges faced and intentions for evaluation of the effectiveness of activities. It also includes an outline of expenditure on widening participation activities (including those aimed at retention of disadvantaged students) which are not covered by the Access Agreement.</w:t>
      </w:r>
    </w:p>
    <w:p w:rsidR="00DA0FE0" w:rsidRDefault="00DA0FE0" w:rsidP="00DA0FE0">
      <w:pPr>
        <w:spacing w:after="0"/>
        <w:ind w:left="720"/>
        <w:jc w:val="both"/>
        <w:rPr>
          <w:rFonts w:ascii="Arial" w:eastAsia="Calibri" w:hAnsi="Arial" w:cs="Arial"/>
        </w:rPr>
      </w:pPr>
      <w:r w:rsidRPr="00BA1A93">
        <w:rPr>
          <w:rFonts w:ascii="Arial" w:eastAsia="Calibri" w:hAnsi="Arial" w:cs="Arial"/>
        </w:rPr>
        <w:t xml:space="preserve">If the University wishes to charge tuition fees of £6,000 per annum or higher, it will have to submit an Access Agreement for 2012-13 to OFFA by mid April 2011.  Details of the format and requirements of the new Access Agreement will be available from OFFA in early March (guidance </w:t>
      </w:r>
      <w:r>
        <w:rPr>
          <w:rFonts w:ascii="Arial" w:eastAsia="Calibri" w:hAnsi="Arial" w:cs="Arial"/>
        </w:rPr>
        <w:t xml:space="preserve">letter </w:t>
      </w:r>
      <w:r w:rsidRPr="00BA1A93">
        <w:rPr>
          <w:rFonts w:ascii="Arial" w:eastAsia="Calibri" w:hAnsi="Arial" w:cs="Arial"/>
        </w:rPr>
        <w:t xml:space="preserve">from BIS to OFFA can be found at </w:t>
      </w:r>
      <w:hyperlink r:id="rId9" w:history="1">
        <w:r w:rsidR="00ED6DA8" w:rsidRPr="00753F91">
          <w:rPr>
            <w:rStyle w:val="Hyperlink"/>
          </w:rPr>
          <w:t>http://www.bis.gov.uk/assets/biscore/higher-education/docs/g/11-728-guidance-to-director-fair-access</w:t>
        </w:r>
      </w:hyperlink>
      <w:r w:rsidR="00ED6DA8">
        <w:t>)</w:t>
      </w:r>
      <w:r w:rsidRPr="00BA1A93">
        <w:rPr>
          <w:rFonts w:ascii="Arial" w:eastAsia="Calibri" w:hAnsi="Arial" w:cs="Arial"/>
        </w:rPr>
        <w:t>.</w:t>
      </w:r>
    </w:p>
    <w:p w:rsidR="00A0285D" w:rsidRDefault="00A0285D" w:rsidP="00DA0FE0">
      <w:pPr>
        <w:spacing w:after="0"/>
        <w:ind w:left="720"/>
        <w:jc w:val="both"/>
        <w:rPr>
          <w:rFonts w:ascii="Arial" w:eastAsia="Calibri" w:hAnsi="Arial" w:cs="Arial"/>
        </w:rPr>
      </w:pPr>
    </w:p>
    <w:p w:rsidR="0092419E" w:rsidRDefault="0092419E">
      <w:pPr>
        <w:rPr>
          <w:rFonts w:ascii="Arial" w:hAnsi="Arial" w:cs="Arial"/>
          <w:b/>
        </w:rPr>
      </w:pPr>
      <w:r>
        <w:rPr>
          <w:rFonts w:ascii="Arial" w:hAnsi="Arial" w:cs="Arial"/>
          <w:b/>
        </w:rPr>
        <w:br w:type="page"/>
      </w:r>
    </w:p>
    <w:p w:rsidR="00A0285D" w:rsidRDefault="00DA0FE0" w:rsidP="00DA0FE0">
      <w:pPr>
        <w:spacing w:after="0"/>
        <w:jc w:val="both"/>
        <w:rPr>
          <w:rFonts w:ascii="Arial" w:hAnsi="Arial" w:cs="Arial"/>
          <w:b/>
        </w:rPr>
      </w:pPr>
      <w:r w:rsidRPr="00BA1A93">
        <w:rPr>
          <w:rFonts w:ascii="Arial" w:hAnsi="Arial" w:cs="Arial"/>
          <w:b/>
        </w:rPr>
        <w:lastRenderedPageBreak/>
        <w:t>2.</w:t>
      </w:r>
      <w:r w:rsidRPr="00BA1A93">
        <w:rPr>
          <w:rFonts w:ascii="Arial" w:hAnsi="Arial" w:cs="Arial"/>
          <w:b/>
        </w:rPr>
        <w:tab/>
      </w:r>
      <w:r w:rsidR="00A0285D">
        <w:rPr>
          <w:rFonts w:ascii="Arial" w:hAnsi="Arial" w:cs="Arial"/>
          <w:b/>
        </w:rPr>
        <w:t>Planning</w:t>
      </w:r>
      <w:r w:rsidR="00444159">
        <w:rPr>
          <w:rFonts w:ascii="Arial" w:hAnsi="Arial" w:cs="Arial"/>
          <w:b/>
        </w:rPr>
        <w:t xml:space="preserve"> Structure</w:t>
      </w:r>
    </w:p>
    <w:p w:rsidR="00A0285D" w:rsidRDefault="00A0285D" w:rsidP="00DA0FE0">
      <w:pPr>
        <w:spacing w:after="0"/>
        <w:jc w:val="both"/>
        <w:rPr>
          <w:rFonts w:ascii="Arial" w:hAnsi="Arial" w:cs="Arial"/>
          <w:b/>
        </w:rPr>
      </w:pPr>
    </w:p>
    <w:p w:rsidR="00A0285D" w:rsidRDefault="00A0285D" w:rsidP="00A0285D">
      <w:pPr>
        <w:spacing w:after="0"/>
        <w:ind w:left="709" w:hanging="709"/>
        <w:jc w:val="both"/>
        <w:rPr>
          <w:rFonts w:ascii="Arial" w:hAnsi="Arial" w:cs="Arial"/>
        </w:rPr>
      </w:pPr>
      <w:r>
        <w:rPr>
          <w:rFonts w:ascii="Arial" w:hAnsi="Arial" w:cs="Arial"/>
          <w:b/>
        </w:rPr>
        <w:tab/>
      </w:r>
      <w:r w:rsidRPr="00A0285D">
        <w:rPr>
          <w:rFonts w:ascii="Arial" w:hAnsi="Arial" w:cs="Arial"/>
        </w:rPr>
        <w:t xml:space="preserve">A core group </w:t>
      </w:r>
      <w:r>
        <w:rPr>
          <w:rFonts w:ascii="Arial" w:hAnsi="Arial" w:cs="Arial"/>
        </w:rPr>
        <w:t>of relevant staff, chaired by Professor Morag Bell, PVC(T), has been established to work on the details of our Access Agreement proposals alongside preparation of financial forecasts for the University’s budget as a whole being undertaken by the Finance Office. This group comprises:</w:t>
      </w:r>
    </w:p>
    <w:p w:rsidR="00A0285D" w:rsidRDefault="00A0285D" w:rsidP="00444159">
      <w:pPr>
        <w:tabs>
          <w:tab w:val="left" w:pos="5387"/>
        </w:tabs>
        <w:spacing w:after="0"/>
        <w:ind w:left="709" w:hanging="709"/>
        <w:jc w:val="both"/>
        <w:rPr>
          <w:rFonts w:ascii="Arial" w:hAnsi="Arial" w:cs="Arial"/>
        </w:rPr>
      </w:pPr>
      <w:r>
        <w:rPr>
          <w:rFonts w:ascii="Arial" w:hAnsi="Arial" w:cs="Arial"/>
        </w:rPr>
        <w:tab/>
        <w:t>PVC (T)</w:t>
      </w:r>
      <w:r>
        <w:rPr>
          <w:rFonts w:ascii="Arial" w:hAnsi="Arial" w:cs="Arial"/>
        </w:rPr>
        <w:tab/>
        <w:t>Morag Bell</w:t>
      </w:r>
    </w:p>
    <w:p w:rsidR="00444159" w:rsidRDefault="00444159" w:rsidP="00444159">
      <w:pPr>
        <w:tabs>
          <w:tab w:val="left" w:pos="5387"/>
        </w:tabs>
        <w:spacing w:after="0"/>
        <w:ind w:left="709"/>
        <w:jc w:val="both"/>
        <w:rPr>
          <w:rFonts w:ascii="Arial" w:hAnsi="Arial" w:cs="Arial"/>
        </w:rPr>
      </w:pPr>
      <w:r>
        <w:rPr>
          <w:rFonts w:ascii="Arial" w:hAnsi="Arial" w:cs="Arial"/>
        </w:rPr>
        <w:t>Academic Registrar</w:t>
      </w:r>
      <w:r>
        <w:rPr>
          <w:rFonts w:ascii="Arial" w:hAnsi="Arial" w:cs="Arial"/>
        </w:rPr>
        <w:tab/>
        <w:t>Jennifer Nutkins</w:t>
      </w:r>
    </w:p>
    <w:p w:rsidR="00444159" w:rsidRDefault="00444159" w:rsidP="00444159">
      <w:pPr>
        <w:tabs>
          <w:tab w:val="left" w:pos="5387"/>
        </w:tabs>
        <w:spacing w:after="0"/>
        <w:ind w:left="709"/>
        <w:jc w:val="both"/>
        <w:rPr>
          <w:rFonts w:ascii="Arial" w:hAnsi="Arial" w:cs="Arial"/>
        </w:rPr>
      </w:pPr>
      <w:r>
        <w:rPr>
          <w:rFonts w:ascii="Arial" w:hAnsi="Arial" w:cs="Arial"/>
        </w:rPr>
        <w:t>Director of Recruitment and Admissions</w:t>
      </w:r>
      <w:r>
        <w:rPr>
          <w:rFonts w:ascii="Arial" w:hAnsi="Arial" w:cs="Arial"/>
        </w:rPr>
        <w:tab/>
        <w:t>Rachel Atkin</w:t>
      </w:r>
    </w:p>
    <w:p w:rsidR="00444159" w:rsidRDefault="00444159" w:rsidP="00444159">
      <w:pPr>
        <w:tabs>
          <w:tab w:val="left" w:pos="5387"/>
        </w:tabs>
        <w:spacing w:after="0"/>
        <w:ind w:left="709"/>
        <w:jc w:val="both"/>
        <w:rPr>
          <w:rFonts w:ascii="Arial" w:hAnsi="Arial" w:cs="Arial"/>
        </w:rPr>
      </w:pPr>
      <w:r>
        <w:rPr>
          <w:rFonts w:ascii="Arial" w:hAnsi="Arial" w:cs="Arial"/>
        </w:rPr>
        <w:t xml:space="preserve">Director of Planning </w:t>
      </w:r>
      <w:r>
        <w:rPr>
          <w:rFonts w:ascii="Arial" w:hAnsi="Arial" w:cs="Arial"/>
        </w:rPr>
        <w:tab/>
        <w:t>Fidelma Hannah</w:t>
      </w:r>
    </w:p>
    <w:p w:rsidR="00444159" w:rsidRDefault="00444159" w:rsidP="00444159">
      <w:pPr>
        <w:tabs>
          <w:tab w:val="left" w:pos="5387"/>
        </w:tabs>
        <w:spacing w:after="0"/>
        <w:ind w:left="709"/>
        <w:jc w:val="both"/>
        <w:rPr>
          <w:rFonts w:ascii="Arial" w:hAnsi="Arial" w:cs="Arial"/>
        </w:rPr>
      </w:pPr>
      <w:r>
        <w:rPr>
          <w:rFonts w:ascii="Arial" w:hAnsi="Arial" w:cs="Arial"/>
        </w:rPr>
        <w:t>Deputy Director of Finance</w:t>
      </w:r>
      <w:r>
        <w:rPr>
          <w:rFonts w:ascii="Arial" w:hAnsi="Arial" w:cs="Arial"/>
        </w:rPr>
        <w:tab/>
        <w:t>Paula Powditch</w:t>
      </w:r>
    </w:p>
    <w:p w:rsidR="00444159" w:rsidRDefault="00444159" w:rsidP="00444159">
      <w:pPr>
        <w:tabs>
          <w:tab w:val="left" w:pos="5387"/>
        </w:tabs>
        <w:spacing w:after="0"/>
        <w:ind w:left="709"/>
        <w:jc w:val="both"/>
        <w:rPr>
          <w:rFonts w:ascii="Arial" w:hAnsi="Arial" w:cs="Arial"/>
        </w:rPr>
      </w:pPr>
      <w:r>
        <w:rPr>
          <w:rFonts w:ascii="Arial" w:hAnsi="Arial" w:cs="Arial"/>
        </w:rPr>
        <w:t>Director of Student Services</w:t>
      </w:r>
      <w:r>
        <w:rPr>
          <w:rFonts w:ascii="Arial" w:hAnsi="Arial" w:cs="Arial"/>
        </w:rPr>
        <w:tab/>
        <w:t>Nigel Thomas</w:t>
      </w:r>
    </w:p>
    <w:p w:rsidR="00A0285D" w:rsidRDefault="00A0285D" w:rsidP="00A0285D">
      <w:pPr>
        <w:spacing w:after="0"/>
        <w:ind w:left="709" w:hanging="709"/>
        <w:jc w:val="both"/>
        <w:rPr>
          <w:rFonts w:ascii="Arial" w:hAnsi="Arial" w:cs="Arial"/>
        </w:rPr>
      </w:pPr>
    </w:p>
    <w:p w:rsidR="00A0285D" w:rsidRDefault="00444159" w:rsidP="00A0285D">
      <w:pPr>
        <w:spacing w:after="0"/>
        <w:ind w:left="709" w:hanging="709"/>
        <w:jc w:val="both"/>
        <w:rPr>
          <w:rFonts w:ascii="Arial" w:hAnsi="Arial" w:cs="Arial"/>
        </w:rPr>
      </w:pPr>
      <w:r>
        <w:rPr>
          <w:rFonts w:ascii="Arial" w:hAnsi="Arial" w:cs="Arial"/>
        </w:rPr>
        <w:tab/>
        <w:t>A wider consultative group has also been established which includes the individuals above together with:</w:t>
      </w:r>
    </w:p>
    <w:p w:rsidR="00444159" w:rsidRDefault="00444159" w:rsidP="00A0285D">
      <w:pPr>
        <w:spacing w:after="0"/>
        <w:ind w:left="709" w:hanging="709"/>
        <w:jc w:val="both"/>
        <w:rPr>
          <w:rFonts w:ascii="Arial" w:hAnsi="Arial" w:cs="Arial"/>
        </w:rPr>
      </w:pPr>
    </w:p>
    <w:p w:rsidR="00444159" w:rsidRDefault="00444159" w:rsidP="00444159">
      <w:pPr>
        <w:tabs>
          <w:tab w:val="left" w:pos="5387"/>
        </w:tabs>
        <w:spacing w:after="0"/>
        <w:ind w:left="709"/>
        <w:jc w:val="both"/>
        <w:rPr>
          <w:rFonts w:ascii="Arial" w:hAnsi="Arial" w:cs="Arial"/>
        </w:rPr>
      </w:pPr>
      <w:r>
        <w:rPr>
          <w:rFonts w:ascii="Arial" w:hAnsi="Arial" w:cs="Arial"/>
        </w:rPr>
        <w:t>Deans of School</w:t>
      </w:r>
      <w:r>
        <w:rPr>
          <w:rFonts w:ascii="Arial" w:hAnsi="Arial" w:cs="Arial"/>
        </w:rPr>
        <w:tab/>
        <w:t>Rob Parking and Angus Laing</w:t>
      </w:r>
    </w:p>
    <w:p w:rsidR="00444159" w:rsidRDefault="00444159" w:rsidP="00444159">
      <w:pPr>
        <w:tabs>
          <w:tab w:val="left" w:pos="5387"/>
        </w:tabs>
        <w:spacing w:after="0"/>
        <w:ind w:left="709"/>
        <w:jc w:val="both"/>
        <w:rPr>
          <w:rFonts w:ascii="Arial" w:hAnsi="Arial" w:cs="Arial"/>
        </w:rPr>
      </w:pPr>
      <w:r>
        <w:rPr>
          <w:rFonts w:ascii="Arial" w:hAnsi="Arial" w:cs="Arial"/>
        </w:rPr>
        <w:t xml:space="preserve">Director of Marketing and Communications </w:t>
      </w:r>
      <w:r>
        <w:rPr>
          <w:rFonts w:ascii="Arial" w:hAnsi="Arial" w:cs="Arial"/>
        </w:rPr>
        <w:tab/>
        <w:t>Ian Cairns</w:t>
      </w:r>
    </w:p>
    <w:p w:rsidR="00444159" w:rsidRDefault="00444159" w:rsidP="00444159">
      <w:pPr>
        <w:tabs>
          <w:tab w:val="left" w:pos="5387"/>
        </w:tabs>
        <w:spacing w:after="0"/>
        <w:ind w:left="709"/>
        <w:jc w:val="both"/>
        <w:rPr>
          <w:rFonts w:ascii="Arial" w:hAnsi="Arial" w:cs="Arial"/>
        </w:rPr>
      </w:pPr>
      <w:r>
        <w:rPr>
          <w:rFonts w:ascii="Arial" w:hAnsi="Arial" w:cs="Arial"/>
        </w:rPr>
        <w:t>LSU Executive</w:t>
      </w:r>
      <w:r>
        <w:rPr>
          <w:rFonts w:ascii="Arial" w:hAnsi="Arial" w:cs="Arial"/>
        </w:rPr>
        <w:tab/>
        <w:t>Lucy Hopkins and Alice Swinscoe</w:t>
      </w:r>
    </w:p>
    <w:p w:rsidR="00444159" w:rsidRDefault="00444159" w:rsidP="00444159">
      <w:pPr>
        <w:tabs>
          <w:tab w:val="left" w:pos="5387"/>
        </w:tabs>
        <w:spacing w:after="0"/>
        <w:ind w:left="709"/>
        <w:jc w:val="both"/>
        <w:rPr>
          <w:rFonts w:ascii="Arial" w:hAnsi="Arial" w:cs="Arial"/>
        </w:rPr>
      </w:pPr>
    </w:p>
    <w:p w:rsidR="00444159" w:rsidRDefault="00444159" w:rsidP="00444159">
      <w:pPr>
        <w:tabs>
          <w:tab w:val="left" w:pos="5387"/>
        </w:tabs>
        <w:spacing w:after="0"/>
        <w:ind w:left="709"/>
        <w:jc w:val="both"/>
        <w:rPr>
          <w:rFonts w:ascii="Arial" w:hAnsi="Arial" w:cs="Arial"/>
        </w:rPr>
      </w:pPr>
      <w:r>
        <w:rPr>
          <w:rFonts w:ascii="Arial" w:hAnsi="Arial" w:cs="Arial"/>
        </w:rPr>
        <w:t>The core group is reporting regularly to the Vice-Chancellor, Provost and Provost Elect, Director of Finance and Chief Operating Officer. A timetable of key dates is given at the end of this paper.</w:t>
      </w:r>
    </w:p>
    <w:p w:rsidR="00A0285D" w:rsidRPr="00A0285D" w:rsidRDefault="00A0285D" w:rsidP="00DA0FE0">
      <w:pPr>
        <w:spacing w:after="0"/>
        <w:jc w:val="both"/>
        <w:rPr>
          <w:rFonts w:ascii="Arial" w:hAnsi="Arial" w:cs="Arial"/>
        </w:rPr>
      </w:pPr>
    </w:p>
    <w:p w:rsidR="00DA0FE0" w:rsidRDefault="00444159" w:rsidP="00DA0FE0">
      <w:pPr>
        <w:spacing w:after="0"/>
        <w:jc w:val="both"/>
        <w:rPr>
          <w:rFonts w:ascii="Arial" w:hAnsi="Arial" w:cs="Arial"/>
          <w:b/>
        </w:rPr>
      </w:pPr>
      <w:r>
        <w:rPr>
          <w:rFonts w:ascii="Arial" w:hAnsi="Arial" w:cs="Arial"/>
          <w:b/>
        </w:rPr>
        <w:t>3.</w:t>
      </w:r>
      <w:r>
        <w:rPr>
          <w:rFonts w:ascii="Arial" w:hAnsi="Arial" w:cs="Arial"/>
          <w:b/>
        </w:rPr>
        <w:tab/>
      </w:r>
      <w:r w:rsidR="00DA0FE0" w:rsidRPr="00BA1A93">
        <w:rPr>
          <w:rFonts w:ascii="Arial" w:hAnsi="Arial" w:cs="Arial"/>
          <w:b/>
        </w:rPr>
        <w:t>What fees do we charge?</w:t>
      </w:r>
    </w:p>
    <w:p w:rsidR="00D73A09" w:rsidRPr="00BA1A93" w:rsidRDefault="00D73A09" w:rsidP="00DA0FE0">
      <w:pPr>
        <w:spacing w:after="0"/>
        <w:jc w:val="both"/>
        <w:rPr>
          <w:rFonts w:ascii="Arial" w:hAnsi="Arial" w:cs="Arial"/>
          <w:b/>
        </w:rPr>
      </w:pPr>
    </w:p>
    <w:p w:rsidR="00DA0FE0" w:rsidRPr="00BA1A93" w:rsidRDefault="00DA0FE0" w:rsidP="00DA0FE0">
      <w:pPr>
        <w:spacing w:after="0"/>
        <w:ind w:firstLine="720"/>
        <w:jc w:val="both"/>
        <w:rPr>
          <w:rFonts w:ascii="Arial" w:hAnsi="Arial" w:cs="Arial"/>
        </w:rPr>
      </w:pPr>
      <w:r w:rsidRPr="00BA1A93">
        <w:rPr>
          <w:rFonts w:ascii="Arial" w:hAnsi="Arial" w:cs="Arial"/>
        </w:rPr>
        <w:t>Suggested fees for the following groups of students:</w:t>
      </w:r>
    </w:p>
    <w:p w:rsidR="00DA0FE0" w:rsidRPr="00BA1A93" w:rsidRDefault="00DA0FE0" w:rsidP="00DA0FE0">
      <w:pPr>
        <w:spacing w:after="0"/>
        <w:ind w:left="720"/>
        <w:jc w:val="both"/>
        <w:rPr>
          <w:rFonts w:ascii="Arial" w:hAnsi="Arial" w:cs="Arial"/>
        </w:rPr>
      </w:pPr>
      <w:r w:rsidRPr="00BA1A93">
        <w:rPr>
          <w:rFonts w:ascii="Arial" w:hAnsi="Arial" w:cs="Arial"/>
          <w:b/>
        </w:rPr>
        <w:t>Full-time undergraduate</w:t>
      </w:r>
      <w:r w:rsidRPr="00BA1A93">
        <w:rPr>
          <w:rFonts w:ascii="Arial" w:hAnsi="Arial" w:cs="Arial"/>
        </w:rPr>
        <w:t xml:space="preserve"> – recommendations to be made following analysis of break</w:t>
      </w:r>
      <w:r w:rsidRPr="00BA1A93">
        <w:rPr>
          <w:rFonts w:ascii="Arial" w:hAnsi="Arial" w:cs="Arial"/>
        </w:rPr>
        <w:noBreakHyphen/>
        <w:t>even fee</w:t>
      </w:r>
      <w:r>
        <w:rPr>
          <w:rFonts w:ascii="Arial" w:hAnsi="Arial" w:cs="Arial"/>
        </w:rPr>
        <w:t xml:space="preserve"> </w:t>
      </w:r>
      <w:r w:rsidR="00444159">
        <w:rPr>
          <w:rFonts w:ascii="Arial" w:hAnsi="Arial" w:cs="Arial"/>
        </w:rPr>
        <w:t>and bearing in mind wider context. D</w:t>
      </w:r>
      <w:r>
        <w:rPr>
          <w:rFonts w:ascii="Arial" w:hAnsi="Arial" w:cs="Arial"/>
        </w:rPr>
        <w:t xml:space="preserve">etailed modelling </w:t>
      </w:r>
      <w:r w:rsidR="00444159">
        <w:rPr>
          <w:rFonts w:ascii="Arial" w:hAnsi="Arial" w:cs="Arial"/>
        </w:rPr>
        <w:t xml:space="preserve">of scenarios being undertaken by </w:t>
      </w:r>
      <w:r>
        <w:rPr>
          <w:rFonts w:ascii="Arial" w:hAnsi="Arial" w:cs="Arial"/>
        </w:rPr>
        <w:t>Finance</w:t>
      </w:r>
      <w:r w:rsidR="00444159">
        <w:rPr>
          <w:rFonts w:ascii="Arial" w:hAnsi="Arial" w:cs="Arial"/>
        </w:rPr>
        <w:t xml:space="preserve"> Office</w:t>
      </w:r>
      <w:r w:rsidR="008E1E5E">
        <w:rPr>
          <w:rFonts w:ascii="Arial" w:hAnsi="Arial" w:cs="Arial"/>
        </w:rPr>
        <w:t>.</w:t>
      </w:r>
    </w:p>
    <w:p w:rsidR="00D73A09" w:rsidRDefault="00DA0FE0" w:rsidP="00C13E88">
      <w:pPr>
        <w:spacing w:after="0"/>
        <w:ind w:left="720"/>
        <w:jc w:val="both"/>
        <w:rPr>
          <w:rFonts w:ascii="Arial" w:hAnsi="Arial" w:cs="Arial"/>
        </w:rPr>
      </w:pPr>
      <w:r w:rsidRPr="00BA1A93">
        <w:rPr>
          <w:rFonts w:ascii="Arial" w:hAnsi="Arial" w:cs="Arial"/>
          <w:b/>
        </w:rPr>
        <w:t>Placement</w:t>
      </w:r>
      <w:r w:rsidRPr="00BA1A93">
        <w:rPr>
          <w:rFonts w:ascii="Arial" w:hAnsi="Arial" w:cs="Arial"/>
        </w:rPr>
        <w:t xml:space="preserve"> –</w:t>
      </w:r>
      <w:r>
        <w:rPr>
          <w:rFonts w:ascii="Arial" w:hAnsi="Arial" w:cs="Arial"/>
        </w:rPr>
        <w:t xml:space="preserve"> </w:t>
      </w:r>
      <w:r w:rsidRPr="00BA1A93">
        <w:rPr>
          <w:rFonts w:ascii="Arial" w:hAnsi="Arial" w:cs="Arial"/>
        </w:rPr>
        <w:t xml:space="preserve">the majority of 1994 group </w:t>
      </w:r>
      <w:r>
        <w:rPr>
          <w:rFonts w:ascii="Arial" w:hAnsi="Arial" w:cs="Arial"/>
        </w:rPr>
        <w:t>i</w:t>
      </w:r>
      <w:r w:rsidRPr="00BA1A93">
        <w:rPr>
          <w:rFonts w:ascii="Arial" w:hAnsi="Arial" w:cs="Arial"/>
        </w:rPr>
        <w:t xml:space="preserve">nstitutions currently charge either half </w:t>
      </w:r>
      <w:r>
        <w:rPr>
          <w:rFonts w:ascii="Arial" w:hAnsi="Arial" w:cs="Arial"/>
        </w:rPr>
        <w:t xml:space="preserve">of </w:t>
      </w:r>
      <w:r w:rsidRPr="00BA1A93">
        <w:rPr>
          <w:rFonts w:ascii="Arial" w:hAnsi="Arial" w:cs="Arial"/>
        </w:rPr>
        <w:t xml:space="preserve">the ‘old’ </w:t>
      </w:r>
      <w:r>
        <w:rPr>
          <w:rFonts w:ascii="Arial" w:hAnsi="Arial" w:cs="Arial"/>
        </w:rPr>
        <w:t xml:space="preserve">or ‘new’ </w:t>
      </w:r>
      <w:r w:rsidRPr="00BA1A93">
        <w:rPr>
          <w:rFonts w:ascii="Arial" w:hAnsi="Arial" w:cs="Arial"/>
        </w:rPr>
        <w:t>system fee</w:t>
      </w:r>
      <w:r>
        <w:rPr>
          <w:rFonts w:ascii="Arial" w:hAnsi="Arial" w:cs="Arial"/>
        </w:rPr>
        <w:t xml:space="preserve"> </w:t>
      </w:r>
      <w:r w:rsidRPr="00BA1A93">
        <w:rPr>
          <w:rFonts w:ascii="Arial" w:hAnsi="Arial" w:cs="Arial"/>
        </w:rPr>
        <w:t xml:space="preserve">(£660 OR £1,645).  </w:t>
      </w:r>
      <w:r>
        <w:rPr>
          <w:rFonts w:ascii="Arial" w:hAnsi="Arial" w:cs="Arial"/>
        </w:rPr>
        <w:t>Transparency is needed as to what is included in the fee</w:t>
      </w:r>
      <w:r w:rsidR="00C13E88">
        <w:rPr>
          <w:rFonts w:ascii="Arial" w:hAnsi="Arial" w:cs="Arial"/>
        </w:rPr>
        <w:t xml:space="preserve"> and work is in progress to prepare a statement for students</w:t>
      </w:r>
      <w:r>
        <w:rPr>
          <w:rFonts w:ascii="Arial" w:hAnsi="Arial" w:cs="Arial"/>
        </w:rPr>
        <w:t>.</w:t>
      </w:r>
    </w:p>
    <w:p w:rsidR="00DA0FE0" w:rsidRPr="00BA1A93" w:rsidRDefault="00DA0FE0" w:rsidP="00D73A09">
      <w:pPr>
        <w:spacing w:after="0"/>
        <w:ind w:left="720"/>
        <w:jc w:val="both"/>
        <w:rPr>
          <w:rFonts w:ascii="Arial" w:hAnsi="Arial" w:cs="Arial"/>
        </w:rPr>
      </w:pPr>
      <w:r w:rsidRPr="00BA1A93">
        <w:rPr>
          <w:rFonts w:ascii="Arial" w:hAnsi="Arial" w:cs="Arial"/>
          <w:b/>
        </w:rPr>
        <w:t>PGCE</w:t>
      </w:r>
      <w:r w:rsidRPr="00BA1A93">
        <w:rPr>
          <w:rFonts w:ascii="Arial" w:hAnsi="Arial" w:cs="Arial"/>
        </w:rPr>
        <w:t xml:space="preserve"> – uncertain at present</w:t>
      </w:r>
    </w:p>
    <w:p w:rsidR="00DA0FE0" w:rsidRPr="00BA1A93" w:rsidRDefault="00DA0FE0" w:rsidP="00DA0FE0">
      <w:pPr>
        <w:spacing w:after="0"/>
        <w:ind w:left="720" w:hanging="720"/>
        <w:jc w:val="both"/>
        <w:rPr>
          <w:rFonts w:ascii="Arial" w:hAnsi="Arial" w:cs="Arial"/>
        </w:rPr>
      </w:pPr>
      <w:r w:rsidRPr="00BA1A93">
        <w:rPr>
          <w:rFonts w:ascii="Arial" w:hAnsi="Arial" w:cs="Arial"/>
          <w:b/>
        </w:rPr>
        <w:tab/>
        <w:t>Part-time undergraduate</w:t>
      </w:r>
      <w:r w:rsidRPr="00BA1A93">
        <w:rPr>
          <w:rFonts w:ascii="Arial" w:hAnsi="Arial" w:cs="Arial"/>
        </w:rPr>
        <w:t xml:space="preserve"> – pro rata of the full-time fee depending on number of credits studied</w:t>
      </w:r>
    </w:p>
    <w:p w:rsidR="00DA0FE0" w:rsidRPr="00BA1A93" w:rsidRDefault="00DA0FE0" w:rsidP="00DA0FE0">
      <w:pPr>
        <w:spacing w:after="0"/>
        <w:ind w:left="720"/>
        <w:jc w:val="both"/>
        <w:rPr>
          <w:rFonts w:ascii="Arial" w:hAnsi="Arial" w:cs="Arial"/>
        </w:rPr>
      </w:pPr>
      <w:r w:rsidRPr="00BA1A93">
        <w:rPr>
          <w:rFonts w:ascii="Arial" w:hAnsi="Arial" w:cs="Arial"/>
          <w:b/>
        </w:rPr>
        <w:t>Science and Engineering Foundation Studies</w:t>
      </w:r>
      <w:r>
        <w:rPr>
          <w:rFonts w:ascii="Arial" w:hAnsi="Arial" w:cs="Arial"/>
        </w:rPr>
        <w:t xml:space="preserve"> – </w:t>
      </w:r>
      <w:r w:rsidRPr="00BA1A93">
        <w:rPr>
          <w:rFonts w:ascii="Arial" w:hAnsi="Arial" w:cs="Arial"/>
        </w:rPr>
        <w:t xml:space="preserve">as for full-time undergraduates but </w:t>
      </w:r>
      <w:r>
        <w:rPr>
          <w:rFonts w:ascii="Arial" w:hAnsi="Arial" w:cs="Arial"/>
        </w:rPr>
        <w:t xml:space="preserve">could </w:t>
      </w:r>
      <w:r w:rsidRPr="00BA1A93">
        <w:rPr>
          <w:rFonts w:ascii="Arial" w:hAnsi="Arial" w:cs="Arial"/>
        </w:rPr>
        <w:t xml:space="preserve">offer an enhanced support package for certain </w:t>
      </w:r>
      <w:r>
        <w:rPr>
          <w:rFonts w:ascii="Arial" w:hAnsi="Arial" w:cs="Arial"/>
        </w:rPr>
        <w:t>groups</w:t>
      </w:r>
      <w:r w:rsidRPr="00BA1A93">
        <w:rPr>
          <w:rFonts w:ascii="Arial" w:hAnsi="Arial" w:cs="Arial"/>
        </w:rPr>
        <w:t xml:space="preserve"> of students </w:t>
      </w:r>
      <w:r>
        <w:rPr>
          <w:rFonts w:ascii="Arial" w:hAnsi="Arial" w:cs="Arial"/>
        </w:rPr>
        <w:t>eg</w:t>
      </w:r>
      <w:r w:rsidRPr="00BA1A93">
        <w:rPr>
          <w:rFonts w:ascii="Arial" w:hAnsi="Arial" w:cs="Arial"/>
        </w:rPr>
        <w:t xml:space="preserve"> w</w:t>
      </w:r>
      <w:r>
        <w:rPr>
          <w:rFonts w:ascii="Arial" w:hAnsi="Arial" w:cs="Arial"/>
        </w:rPr>
        <w:t xml:space="preserve">idening </w:t>
      </w:r>
      <w:r w:rsidRPr="00BA1A93">
        <w:rPr>
          <w:rFonts w:ascii="Arial" w:hAnsi="Arial" w:cs="Arial"/>
        </w:rPr>
        <w:t>p</w:t>
      </w:r>
      <w:r>
        <w:rPr>
          <w:rFonts w:ascii="Arial" w:hAnsi="Arial" w:cs="Arial"/>
        </w:rPr>
        <w:t>articipation</w:t>
      </w:r>
      <w:r w:rsidRPr="00BA1A93">
        <w:rPr>
          <w:rFonts w:ascii="Arial" w:hAnsi="Arial" w:cs="Arial"/>
        </w:rPr>
        <w:t>, mature</w:t>
      </w:r>
    </w:p>
    <w:p w:rsidR="00DA0FE0" w:rsidRPr="00BA1A93" w:rsidRDefault="00DA0FE0" w:rsidP="00DA0FE0">
      <w:pPr>
        <w:spacing w:after="0"/>
        <w:ind w:left="720" w:hanging="720"/>
        <w:jc w:val="both"/>
        <w:rPr>
          <w:rFonts w:ascii="Arial" w:hAnsi="Arial" w:cs="Arial"/>
        </w:rPr>
      </w:pPr>
      <w:r w:rsidRPr="00BA1A93">
        <w:rPr>
          <w:rFonts w:ascii="Arial" w:hAnsi="Arial" w:cs="Arial"/>
        </w:rPr>
        <w:tab/>
      </w:r>
      <w:r w:rsidRPr="00BA1A93">
        <w:rPr>
          <w:rFonts w:ascii="Arial" w:hAnsi="Arial" w:cs="Arial"/>
          <w:b/>
        </w:rPr>
        <w:t xml:space="preserve">Loughborough College validated programmes </w:t>
      </w:r>
      <w:r w:rsidRPr="00BA1A93">
        <w:rPr>
          <w:rFonts w:ascii="Arial" w:hAnsi="Arial" w:cs="Arial"/>
        </w:rPr>
        <w:t>– current fee is £3,290.  Not unreasonable to expect that we could have an input in to the level of fees for these courses</w:t>
      </w:r>
    </w:p>
    <w:p w:rsidR="00DA0FE0" w:rsidRPr="00BA1A93" w:rsidRDefault="00DA0FE0" w:rsidP="00DA0FE0">
      <w:pPr>
        <w:spacing w:after="0"/>
        <w:ind w:left="720" w:hanging="720"/>
        <w:jc w:val="both"/>
        <w:rPr>
          <w:rFonts w:ascii="Arial" w:hAnsi="Arial" w:cs="Arial"/>
        </w:rPr>
      </w:pPr>
      <w:r w:rsidRPr="00BA1A93">
        <w:rPr>
          <w:rFonts w:ascii="Arial" w:hAnsi="Arial" w:cs="Arial"/>
        </w:rPr>
        <w:tab/>
      </w:r>
      <w:r w:rsidRPr="00BA1A93">
        <w:rPr>
          <w:rFonts w:ascii="Arial" w:hAnsi="Arial" w:cs="Arial"/>
          <w:b/>
        </w:rPr>
        <w:t xml:space="preserve">Channel Island fees – </w:t>
      </w:r>
      <w:r w:rsidRPr="00BA1A93">
        <w:rPr>
          <w:rFonts w:ascii="Arial" w:hAnsi="Arial" w:cs="Arial"/>
        </w:rPr>
        <w:t xml:space="preserve">agreement with Government to be re-negotiated in 2012 – fee is likely to be as for UK/EU </w:t>
      </w:r>
      <w:r>
        <w:rPr>
          <w:rFonts w:ascii="Arial" w:hAnsi="Arial" w:cs="Arial"/>
        </w:rPr>
        <w:t xml:space="preserve">full-time degree </w:t>
      </w:r>
      <w:r w:rsidRPr="00BA1A93">
        <w:rPr>
          <w:rFonts w:ascii="Arial" w:hAnsi="Arial" w:cs="Arial"/>
        </w:rPr>
        <w:t>students</w:t>
      </w:r>
    </w:p>
    <w:p w:rsidR="00DA0FE0" w:rsidRPr="00AA199F" w:rsidRDefault="00DA0FE0" w:rsidP="00DA0FE0">
      <w:pPr>
        <w:tabs>
          <w:tab w:val="left" w:pos="945"/>
        </w:tabs>
        <w:spacing w:after="0"/>
        <w:jc w:val="both"/>
        <w:rPr>
          <w:rFonts w:ascii="Arial" w:hAnsi="Arial" w:cs="Arial"/>
          <w:sz w:val="20"/>
          <w:szCs w:val="20"/>
        </w:rPr>
      </w:pPr>
      <w:r>
        <w:rPr>
          <w:rFonts w:ascii="Arial" w:hAnsi="Arial" w:cs="Arial"/>
        </w:rPr>
        <w:tab/>
      </w:r>
    </w:p>
    <w:p w:rsidR="00DA0FE0" w:rsidRDefault="00DA0FE0" w:rsidP="00DA0FE0">
      <w:pPr>
        <w:spacing w:after="0"/>
        <w:jc w:val="both"/>
        <w:rPr>
          <w:rFonts w:ascii="Arial" w:hAnsi="Arial" w:cs="Arial"/>
          <w:b/>
        </w:rPr>
      </w:pPr>
      <w:r w:rsidRPr="00BA1A93">
        <w:rPr>
          <w:rFonts w:ascii="Arial" w:hAnsi="Arial" w:cs="Arial"/>
          <w:b/>
        </w:rPr>
        <w:t>3.</w:t>
      </w:r>
      <w:r w:rsidRPr="00BA1A93">
        <w:rPr>
          <w:rFonts w:ascii="Arial" w:hAnsi="Arial" w:cs="Arial"/>
          <w:b/>
        </w:rPr>
        <w:tab/>
        <w:t>Bursary Package</w:t>
      </w:r>
    </w:p>
    <w:p w:rsidR="00D73A09" w:rsidRDefault="00D73A09" w:rsidP="00DA0FE0">
      <w:pPr>
        <w:spacing w:after="0"/>
        <w:jc w:val="both"/>
        <w:rPr>
          <w:rFonts w:ascii="Arial" w:hAnsi="Arial" w:cs="Arial"/>
          <w:b/>
        </w:rPr>
      </w:pPr>
    </w:p>
    <w:p w:rsidR="00C13E88" w:rsidRDefault="00DA0FE0" w:rsidP="00DA0FE0">
      <w:pPr>
        <w:spacing w:after="0"/>
        <w:jc w:val="both"/>
        <w:rPr>
          <w:rFonts w:ascii="Arial" w:hAnsi="Arial" w:cs="Arial"/>
          <w:b/>
        </w:rPr>
      </w:pPr>
      <w:r w:rsidRPr="00BA1A93">
        <w:rPr>
          <w:rFonts w:ascii="Arial" w:hAnsi="Arial" w:cs="Arial"/>
          <w:b/>
        </w:rPr>
        <w:tab/>
        <w:t>3.1</w:t>
      </w:r>
      <w:r w:rsidRPr="00BA1A93">
        <w:rPr>
          <w:rFonts w:ascii="Arial" w:hAnsi="Arial" w:cs="Arial"/>
          <w:b/>
        </w:rPr>
        <w:tab/>
      </w:r>
      <w:r w:rsidR="00C13E88">
        <w:rPr>
          <w:rFonts w:ascii="Arial" w:hAnsi="Arial" w:cs="Arial"/>
          <w:b/>
        </w:rPr>
        <w:t>Current Bursary Scheme</w:t>
      </w:r>
    </w:p>
    <w:p w:rsidR="00C13E88" w:rsidRPr="00C13E88" w:rsidRDefault="00C13E88" w:rsidP="00C13E88">
      <w:pPr>
        <w:spacing w:after="0"/>
        <w:ind w:left="1418"/>
        <w:jc w:val="both"/>
        <w:rPr>
          <w:rFonts w:ascii="Arial" w:hAnsi="Arial" w:cs="Arial"/>
        </w:rPr>
      </w:pPr>
      <w:r w:rsidRPr="00C13E88">
        <w:rPr>
          <w:rFonts w:ascii="Arial" w:hAnsi="Arial" w:cs="Arial"/>
        </w:rPr>
        <w:t xml:space="preserve">Our </w:t>
      </w:r>
      <w:r>
        <w:rPr>
          <w:rFonts w:ascii="Arial" w:hAnsi="Arial" w:cs="Arial"/>
        </w:rPr>
        <w:t>current bursary scheme provides annual means-tested bursaries of around £1,400 for students with the</w:t>
      </w:r>
      <w:r w:rsidR="00444159">
        <w:rPr>
          <w:rFonts w:ascii="Arial" w:hAnsi="Arial" w:cs="Arial"/>
        </w:rPr>
        <w:t xml:space="preserve"> lowest</w:t>
      </w:r>
      <w:r>
        <w:rPr>
          <w:rFonts w:ascii="Arial" w:hAnsi="Arial" w:cs="Arial"/>
        </w:rPr>
        <w:t xml:space="preserve"> residual family incomes and a sliding scale of smaller bursaries for students with residual incomes up to around £36,000. Students over the age of 21 on entry receive double value bursaries. </w:t>
      </w:r>
      <w:r w:rsidR="00850EC9">
        <w:rPr>
          <w:rFonts w:ascii="Arial" w:hAnsi="Arial" w:cs="Arial"/>
        </w:rPr>
        <w:t>Total bursary expenditure was £3,273,654 or 18.3% of our additional fee income in 2009/10. We also offer additional bursaries to care leavers.</w:t>
      </w:r>
    </w:p>
    <w:p w:rsidR="00C13E88" w:rsidRDefault="00C13E88" w:rsidP="00DA0FE0">
      <w:pPr>
        <w:spacing w:after="0"/>
        <w:jc w:val="both"/>
        <w:rPr>
          <w:rFonts w:ascii="Arial" w:hAnsi="Arial" w:cs="Arial"/>
          <w:b/>
        </w:rPr>
      </w:pPr>
    </w:p>
    <w:p w:rsidR="0092419E" w:rsidRDefault="0092419E">
      <w:pPr>
        <w:rPr>
          <w:rFonts w:ascii="Arial" w:hAnsi="Arial" w:cs="Arial"/>
          <w:b/>
        </w:rPr>
      </w:pPr>
      <w:r>
        <w:rPr>
          <w:rFonts w:ascii="Arial" w:hAnsi="Arial" w:cs="Arial"/>
          <w:b/>
        </w:rPr>
        <w:br w:type="page"/>
      </w:r>
    </w:p>
    <w:p w:rsidR="00D73A09" w:rsidRPr="00BA1A93" w:rsidRDefault="00C13E88" w:rsidP="00444159">
      <w:pPr>
        <w:spacing w:after="0"/>
        <w:ind w:left="709"/>
        <w:jc w:val="both"/>
        <w:rPr>
          <w:rFonts w:ascii="Arial" w:hAnsi="Arial" w:cs="Arial"/>
          <w:b/>
        </w:rPr>
      </w:pPr>
      <w:r>
        <w:rPr>
          <w:rFonts w:ascii="Arial" w:hAnsi="Arial" w:cs="Arial"/>
          <w:b/>
        </w:rPr>
        <w:lastRenderedPageBreak/>
        <w:t>3.2</w:t>
      </w:r>
      <w:r>
        <w:rPr>
          <w:rFonts w:ascii="Arial" w:hAnsi="Arial" w:cs="Arial"/>
          <w:b/>
        </w:rPr>
        <w:tab/>
      </w:r>
      <w:r w:rsidR="00DA0FE0" w:rsidRPr="00BA1A93">
        <w:rPr>
          <w:rFonts w:ascii="Arial" w:hAnsi="Arial" w:cs="Arial"/>
          <w:b/>
        </w:rPr>
        <w:t>National Scholarship Programme</w:t>
      </w:r>
    </w:p>
    <w:p w:rsidR="00AD1010" w:rsidRDefault="00DA0FE0" w:rsidP="00DA0FE0">
      <w:pPr>
        <w:spacing w:after="0"/>
        <w:ind w:left="1440" w:hanging="1440"/>
        <w:jc w:val="both"/>
        <w:rPr>
          <w:rFonts w:ascii="Arial" w:hAnsi="Arial" w:cs="Arial"/>
        </w:rPr>
      </w:pPr>
      <w:r w:rsidRPr="00BA1A93">
        <w:rPr>
          <w:rFonts w:ascii="Arial" w:hAnsi="Arial" w:cs="Arial"/>
          <w:b/>
        </w:rPr>
        <w:tab/>
      </w:r>
      <w:r w:rsidRPr="00BA1A93">
        <w:rPr>
          <w:rFonts w:ascii="Arial" w:hAnsi="Arial" w:cs="Arial"/>
        </w:rPr>
        <w:t>The University will be expected to match fund the amount provided by Government (</w:t>
      </w:r>
      <w:r w:rsidR="00354B1F">
        <w:rPr>
          <w:rFonts w:ascii="Arial" w:hAnsi="Arial" w:cs="Arial"/>
        </w:rPr>
        <w:t>likely to be between £200,000 and</w:t>
      </w:r>
      <w:r w:rsidRPr="00BA1A93">
        <w:rPr>
          <w:rFonts w:ascii="Arial" w:hAnsi="Arial" w:cs="Arial"/>
        </w:rPr>
        <w:t xml:space="preserve"> £</w:t>
      </w:r>
      <w:r w:rsidR="00354B1F">
        <w:rPr>
          <w:rFonts w:ascii="Arial" w:hAnsi="Arial" w:cs="Arial"/>
        </w:rPr>
        <w:t>4</w:t>
      </w:r>
      <w:r w:rsidRPr="00BA1A93">
        <w:rPr>
          <w:rFonts w:ascii="Arial" w:hAnsi="Arial" w:cs="Arial"/>
        </w:rPr>
        <w:t>00,000) and give benefits of at least £3,000</w:t>
      </w:r>
      <w:r w:rsidR="00354B1F">
        <w:rPr>
          <w:rFonts w:ascii="Arial" w:hAnsi="Arial" w:cs="Arial"/>
        </w:rPr>
        <w:t xml:space="preserve"> (including no more than £1,000 in cash)</w:t>
      </w:r>
      <w:r w:rsidRPr="00BA1A93">
        <w:rPr>
          <w:rFonts w:ascii="Arial" w:hAnsi="Arial" w:cs="Arial"/>
        </w:rPr>
        <w:t xml:space="preserve"> to students from disadvantaged backgrounds for the first year of their studies</w:t>
      </w:r>
      <w:r>
        <w:rPr>
          <w:rFonts w:ascii="Arial" w:hAnsi="Arial" w:cs="Arial"/>
        </w:rPr>
        <w:t>.  The format (</w:t>
      </w:r>
      <w:r w:rsidR="00444159">
        <w:rPr>
          <w:rFonts w:ascii="Arial" w:hAnsi="Arial" w:cs="Arial"/>
        </w:rPr>
        <w:t xml:space="preserve">which is restricted to </w:t>
      </w:r>
      <w:r w:rsidR="00354B1F">
        <w:rPr>
          <w:rFonts w:ascii="Arial" w:hAnsi="Arial" w:cs="Arial"/>
        </w:rPr>
        <w:t xml:space="preserve">fee waivers, accommodation discount </w:t>
      </w:r>
      <w:r w:rsidR="00C13E88">
        <w:rPr>
          <w:rFonts w:ascii="Arial" w:hAnsi="Arial" w:cs="Arial"/>
        </w:rPr>
        <w:t>and/</w:t>
      </w:r>
      <w:r w:rsidR="00354B1F">
        <w:rPr>
          <w:rFonts w:ascii="Arial" w:hAnsi="Arial" w:cs="Arial"/>
        </w:rPr>
        <w:t>or bursary</w:t>
      </w:r>
      <w:r>
        <w:rPr>
          <w:rFonts w:ascii="Arial" w:hAnsi="Arial" w:cs="Arial"/>
        </w:rPr>
        <w:t xml:space="preserve">) and the criteria for the award </w:t>
      </w:r>
      <w:r w:rsidR="00C13E88">
        <w:rPr>
          <w:rFonts w:ascii="Arial" w:hAnsi="Arial" w:cs="Arial"/>
        </w:rPr>
        <w:t>are to be set by individual i</w:t>
      </w:r>
      <w:r w:rsidRPr="00BA1A93">
        <w:rPr>
          <w:rFonts w:ascii="Arial" w:hAnsi="Arial" w:cs="Arial"/>
        </w:rPr>
        <w:t>nstitutions (but awards cannot be given to those earning over the level for full state support</w:t>
      </w:r>
      <w:r w:rsidR="00C13E88">
        <w:rPr>
          <w:rFonts w:ascii="Arial" w:hAnsi="Arial" w:cs="Arial"/>
        </w:rPr>
        <w:t>, currently £25,000</w:t>
      </w:r>
      <w:r w:rsidRPr="00BA1A93">
        <w:rPr>
          <w:rFonts w:ascii="Arial" w:hAnsi="Arial" w:cs="Arial"/>
        </w:rPr>
        <w:t>).</w:t>
      </w:r>
      <w:r w:rsidR="00354B1F">
        <w:rPr>
          <w:rFonts w:ascii="Arial" w:hAnsi="Arial" w:cs="Arial"/>
        </w:rPr>
        <w:t xml:space="preserve">  </w:t>
      </w:r>
    </w:p>
    <w:p w:rsidR="00AD1010" w:rsidRDefault="00AD1010" w:rsidP="00DA0FE0">
      <w:pPr>
        <w:spacing w:after="0"/>
        <w:ind w:left="1440" w:hanging="1440"/>
        <w:jc w:val="both"/>
        <w:rPr>
          <w:rFonts w:ascii="Arial" w:hAnsi="Arial" w:cs="Arial"/>
        </w:rPr>
      </w:pPr>
    </w:p>
    <w:p w:rsidR="00354B1F" w:rsidRDefault="00354B1F" w:rsidP="00AD1010">
      <w:pPr>
        <w:spacing w:after="0"/>
        <w:ind w:left="1440"/>
        <w:jc w:val="both"/>
        <w:rPr>
          <w:rFonts w:ascii="Arial" w:hAnsi="Arial" w:cs="Arial"/>
        </w:rPr>
      </w:pPr>
      <w:r>
        <w:rPr>
          <w:rFonts w:ascii="Arial" w:hAnsi="Arial" w:cs="Arial"/>
        </w:rPr>
        <w:t>It is hoped that further details regarding the sum of</w:t>
      </w:r>
      <w:r w:rsidR="00C13E88">
        <w:rPr>
          <w:rFonts w:ascii="Arial" w:hAnsi="Arial" w:cs="Arial"/>
        </w:rPr>
        <w:t xml:space="preserve"> money to be allocated to each i</w:t>
      </w:r>
      <w:r>
        <w:rPr>
          <w:rFonts w:ascii="Arial" w:hAnsi="Arial" w:cs="Arial"/>
        </w:rPr>
        <w:t>nstitution will be available in early March</w:t>
      </w:r>
      <w:r w:rsidR="00102FF5">
        <w:rPr>
          <w:rFonts w:ascii="Arial" w:hAnsi="Arial" w:cs="Arial"/>
        </w:rPr>
        <w:t xml:space="preserve"> at which point the details of the scheme can be discussed further</w:t>
      </w:r>
      <w:r>
        <w:rPr>
          <w:rFonts w:ascii="Arial" w:hAnsi="Arial" w:cs="Arial"/>
        </w:rPr>
        <w:t>.</w:t>
      </w:r>
      <w:r w:rsidR="00102FF5">
        <w:rPr>
          <w:rFonts w:ascii="Arial" w:hAnsi="Arial" w:cs="Arial"/>
        </w:rPr>
        <w:t xml:space="preserve">  The current thinking </w:t>
      </w:r>
      <w:r w:rsidR="00037917">
        <w:rPr>
          <w:rFonts w:ascii="Arial" w:hAnsi="Arial" w:cs="Arial"/>
        </w:rPr>
        <w:t>is</w:t>
      </w:r>
      <w:r w:rsidR="00102FF5">
        <w:rPr>
          <w:rFonts w:ascii="Arial" w:hAnsi="Arial" w:cs="Arial"/>
        </w:rPr>
        <w:t xml:space="preserve"> to provide targeted support under the National Scholarship Programme to the most disadvantaged </w:t>
      </w:r>
      <w:r w:rsidR="00AD1010">
        <w:rPr>
          <w:rFonts w:ascii="Arial" w:hAnsi="Arial" w:cs="Arial"/>
        </w:rPr>
        <w:t xml:space="preserve">students </w:t>
      </w:r>
      <w:r w:rsidR="00102FF5">
        <w:rPr>
          <w:rFonts w:ascii="Arial" w:hAnsi="Arial" w:cs="Arial"/>
        </w:rPr>
        <w:t xml:space="preserve">including a £1,000 bursary and a £2,000 accommodation discount (which could be switched to a fee waiver where University </w:t>
      </w:r>
      <w:r w:rsidR="00037917">
        <w:rPr>
          <w:rFonts w:ascii="Arial" w:hAnsi="Arial" w:cs="Arial"/>
        </w:rPr>
        <w:t xml:space="preserve">accommodation was not required) but this will need to be </w:t>
      </w:r>
      <w:r w:rsidR="00AD1010">
        <w:rPr>
          <w:rFonts w:ascii="Arial" w:hAnsi="Arial" w:cs="Arial"/>
        </w:rPr>
        <w:t xml:space="preserve">reviewed once the guidance </w:t>
      </w:r>
      <w:r w:rsidR="00037917">
        <w:rPr>
          <w:rFonts w:ascii="Arial" w:hAnsi="Arial" w:cs="Arial"/>
        </w:rPr>
        <w:t>is received.</w:t>
      </w:r>
    </w:p>
    <w:p w:rsidR="00102FF5" w:rsidRPr="00BA1A93" w:rsidRDefault="00102FF5" w:rsidP="00DA0FE0">
      <w:pPr>
        <w:spacing w:after="0"/>
        <w:ind w:left="1440" w:hanging="1440"/>
        <w:jc w:val="both"/>
        <w:rPr>
          <w:rFonts w:ascii="Arial" w:hAnsi="Arial" w:cs="Arial"/>
        </w:rPr>
      </w:pPr>
    </w:p>
    <w:p w:rsidR="00D73A09" w:rsidRPr="00444159" w:rsidRDefault="00C13E88" w:rsidP="00444159">
      <w:pPr>
        <w:tabs>
          <w:tab w:val="left" w:pos="960"/>
        </w:tabs>
        <w:spacing w:after="0"/>
        <w:ind w:left="1440" w:hanging="720"/>
        <w:jc w:val="both"/>
        <w:rPr>
          <w:rFonts w:ascii="Arial" w:hAnsi="Arial" w:cs="Arial"/>
          <w:b/>
        </w:rPr>
      </w:pPr>
      <w:r>
        <w:rPr>
          <w:rFonts w:ascii="Arial" w:hAnsi="Arial" w:cs="Arial"/>
          <w:b/>
        </w:rPr>
        <w:t>3.3</w:t>
      </w:r>
      <w:r w:rsidR="00DA0FE0" w:rsidRPr="00BA1A93">
        <w:rPr>
          <w:rFonts w:ascii="Arial" w:hAnsi="Arial" w:cs="Arial"/>
          <w:b/>
        </w:rPr>
        <w:tab/>
        <w:t xml:space="preserve">Other </w:t>
      </w:r>
      <w:r w:rsidR="00850EC9">
        <w:rPr>
          <w:rFonts w:ascii="Arial" w:hAnsi="Arial" w:cs="Arial"/>
          <w:b/>
        </w:rPr>
        <w:t xml:space="preserve">future </w:t>
      </w:r>
      <w:r w:rsidR="00DA0FE0" w:rsidRPr="00BA1A93">
        <w:rPr>
          <w:rFonts w:ascii="Arial" w:hAnsi="Arial" w:cs="Arial"/>
          <w:b/>
        </w:rPr>
        <w:t xml:space="preserve">support </w:t>
      </w:r>
      <w:r w:rsidR="00DA0FE0">
        <w:rPr>
          <w:rFonts w:ascii="Arial" w:hAnsi="Arial" w:cs="Arial"/>
          <w:b/>
        </w:rPr>
        <w:t>packages</w:t>
      </w:r>
    </w:p>
    <w:p w:rsidR="00850EC9" w:rsidRDefault="00DA0FE0" w:rsidP="00444159">
      <w:pPr>
        <w:spacing w:after="0"/>
        <w:ind w:left="1440"/>
        <w:jc w:val="both"/>
        <w:rPr>
          <w:rFonts w:ascii="Arial" w:hAnsi="Arial" w:cs="Arial"/>
        </w:rPr>
      </w:pPr>
      <w:r w:rsidRPr="00BA1A93">
        <w:rPr>
          <w:rFonts w:ascii="Arial" w:hAnsi="Arial" w:cs="Arial"/>
        </w:rPr>
        <w:t>The University may wish to consider continuing the support provided under the National Scholarship Programme to subsequent years of study</w:t>
      </w:r>
      <w:r>
        <w:rPr>
          <w:rFonts w:ascii="Arial" w:hAnsi="Arial" w:cs="Arial"/>
        </w:rPr>
        <w:t xml:space="preserve"> for those from disadvantaged backgrounds or offering specific support packages for other categories of students, eg mature, looked after children etc.</w:t>
      </w:r>
      <w:r w:rsidR="00102FF5">
        <w:rPr>
          <w:rFonts w:ascii="Arial" w:hAnsi="Arial" w:cs="Arial"/>
        </w:rPr>
        <w:t xml:space="preserve">  In principle</w:t>
      </w:r>
      <w:r w:rsidR="00444159">
        <w:rPr>
          <w:rFonts w:ascii="Arial" w:hAnsi="Arial" w:cs="Arial"/>
        </w:rPr>
        <w:t>,</w:t>
      </w:r>
      <w:r w:rsidR="00102FF5">
        <w:rPr>
          <w:rFonts w:ascii="Arial" w:hAnsi="Arial" w:cs="Arial"/>
        </w:rPr>
        <w:t xml:space="preserve"> it is thought that the University should seek to maintain its current level of bursary support for the most </w:t>
      </w:r>
      <w:r w:rsidR="00850EC9">
        <w:rPr>
          <w:rFonts w:ascii="Arial" w:hAnsi="Arial" w:cs="Arial"/>
        </w:rPr>
        <w:t xml:space="preserve">financially </w:t>
      </w:r>
      <w:r w:rsidR="00102FF5">
        <w:rPr>
          <w:rFonts w:ascii="Arial" w:hAnsi="Arial" w:cs="Arial"/>
        </w:rPr>
        <w:t>disadvantaged students.</w:t>
      </w:r>
      <w:r w:rsidR="00850EC9">
        <w:rPr>
          <w:rFonts w:ascii="Arial" w:hAnsi="Arial" w:cs="Arial"/>
        </w:rPr>
        <w:t xml:space="preserve"> Logically there should be a link between our Fair Access targets (see below) and our financial support for students but we also need to be mindful of the desirability of simplicity both for communication purposes and administrative efficiency.</w:t>
      </w:r>
    </w:p>
    <w:p w:rsidR="00DA0FE0" w:rsidRPr="00E273E6" w:rsidRDefault="00DA0FE0" w:rsidP="00102FF5">
      <w:pPr>
        <w:spacing w:after="0"/>
        <w:jc w:val="both"/>
        <w:rPr>
          <w:rFonts w:ascii="Arial" w:hAnsi="Arial" w:cs="Arial"/>
          <w:sz w:val="20"/>
          <w:szCs w:val="20"/>
        </w:rPr>
      </w:pPr>
    </w:p>
    <w:p w:rsidR="00DA0FE0" w:rsidRDefault="00DA0FE0" w:rsidP="00DA0FE0">
      <w:pPr>
        <w:spacing w:after="0"/>
        <w:ind w:left="720" w:hanging="720"/>
        <w:jc w:val="both"/>
        <w:rPr>
          <w:rFonts w:ascii="Arial" w:hAnsi="Arial" w:cs="Arial"/>
          <w:b/>
        </w:rPr>
      </w:pPr>
      <w:r w:rsidRPr="00BA1A93">
        <w:rPr>
          <w:rFonts w:ascii="Arial" w:hAnsi="Arial" w:cs="Arial"/>
          <w:b/>
        </w:rPr>
        <w:t>4</w:t>
      </w:r>
      <w:r w:rsidR="00444159">
        <w:rPr>
          <w:rFonts w:ascii="Arial" w:hAnsi="Arial" w:cs="Arial"/>
          <w:b/>
        </w:rPr>
        <w:t>.</w:t>
      </w:r>
      <w:r w:rsidRPr="00BA1A93">
        <w:rPr>
          <w:rFonts w:ascii="Arial" w:hAnsi="Arial" w:cs="Arial"/>
          <w:b/>
        </w:rPr>
        <w:tab/>
        <w:t>Outreach and Fair Access</w:t>
      </w:r>
    </w:p>
    <w:p w:rsidR="00D73A09" w:rsidRPr="00BA1A93" w:rsidRDefault="00D73A09" w:rsidP="00DA0FE0">
      <w:pPr>
        <w:spacing w:after="0"/>
        <w:ind w:left="720" w:hanging="720"/>
        <w:jc w:val="both"/>
        <w:rPr>
          <w:rFonts w:ascii="Arial" w:hAnsi="Arial" w:cs="Arial"/>
          <w:b/>
        </w:rPr>
      </w:pPr>
    </w:p>
    <w:p w:rsidR="00DA0FE0" w:rsidRDefault="00DA0FE0" w:rsidP="00DA0FE0">
      <w:pPr>
        <w:spacing w:after="0"/>
        <w:ind w:left="720" w:hanging="720"/>
        <w:jc w:val="both"/>
        <w:rPr>
          <w:rFonts w:ascii="Arial" w:hAnsi="Arial" w:cs="Arial"/>
        </w:rPr>
      </w:pPr>
      <w:r w:rsidRPr="00BA1A93">
        <w:rPr>
          <w:rFonts w:ascii="Arial" w:hAnsi="Arial" w:cs="Arial"/>
          <w:b/>
        </w:rPr>
        <w:tab/>
      </w:r>
      <w:r w:rsidRPr="00BA1A93">
        <w:rPr>
          <w:rFonts w:ascii="Arial" w:hAnsi="Arial" w:cs="Arial"/>
        </w:rPr>
        <w:t>Outreach – work with schools and colleges to raise the aspirations of young people (can be in collaboration with other Institutions)</w:t>
      </w:r>
    </w:p>
    <w:p w:rsidR="00D73A09" w:rsidRPr="00BA1A93" w:rsidRDefault="00D73A09" w:rsidP="00DA0FE0">
      <w:pPr>
        <w:spacing w:after="0"/>
        <w:ind w:left="720" w:hanging="720"/>
        <w:jc w:val="both"/>
        <w:rPr>
          <w:rFonts w:ascii="Arial" w:hAnsi="Arial" w:cs="Arial"/>
        </w:rPr>
      </w:pPr>
    </w:p>
    <w:p w:rsidR="00DA0FE0" w:rsidRDefault="00DA0FE0" w:rsidP="00DA0FE0">
      <w:pPr>
        <w:spacing w:after="0"/>
        <w:ind w:left="720" w:hanging="720"/>
        <w:jc w:val="both"/>
        <w:rPr>
          <w:rFonts w:ascii="Arial" w:hAnsi="Arial" w:cs="Arial"/>
        </w:rPr>
      </w:pPr>
      <w:r w:rsidRPr="00BA1A93">
        <w:rPr>
          <w:rFonts w:ascii="Arial" w:hAnsi="Arial" w:cs="Arial"/>
        </w:rPr>
        <w:tab/>
        <w:t>Fair Access – work to ensure that bright students are not deterred from applying to selective Institutions (in competition with other Institutions)</w:t>
      </w:r>
    </w:p>
    <w:p w:rsidR="00387473" w:rsidRDefault="00387473" w:rsidP="00DA0FE0">
      <w:pPr>
        <w:spacing w:after="0"/>
        <w:ind w:left="720" w:hanging="720"/>
        <w:jc w:val="both"/>
        <w:rPr>
          <w:rFonts w:ascii="Arial" w:hAnsi="Arial" w:cs="Arial"/>
        </w:rPr>
      </w:pPr>
    </w:p>
    <w:p w:rsidR="00387473" w:rsidRPr="00BA1A93" w:rsidRDefault="00387473" w:rsidP="00DA0FE0">
      <w:pPr>
        <w:spacing w:after="0"/>
        <w:ind w:left="720" w:hanging="720"/>
        <w:jc w:val="both"/>
        <w:rPr>
          <w:rFonts w:ascii="Arial" w:hAnsi="Arial" w:cs="Arial"/>
        </w:rPr>
      </w:pPr>
      <w:r>
        <w:rPr>
          <w:rFonts w:ascii="Arial" w:hAnsi="Arial" w:cs="Arial"/>
        </w:rPr>
        <w:tab/>
        <w:t>Under our current Access Agreement we are committed to spending £284,000 per annum on outreach initiatives and the BIS guidance to OFFA indicates that government would like to see these activities expand significantly. Collaboration with other HEIs and filling the gap left by the ending of the HEFCE funded AimHigher programme from July 2011 are also encouraged.</w:t>
      </w:r>
    </w:p>
    <w:p w:rsidR="00D73A09" w:rsidRDefault="00D73A09" w:rsidP="00850EC9">
      <w:pPr>
        <w:spacing w:after="0"/>
        <w:jc w:val="both"/>
        <w:rPr>
          <w:rFonts w:ascii="Arial" w:hAnsi="Arial" w:cs="Arial"/>
          <w:sz w:val="20"/>
          <w:szCs w:val="20"/>
        </w:rPr>
      </w:pPr>
    </w:p>
    <w:p w:rsidR="00D73A09" w:rsidRPr="00BA1A93" w:rsidRDefault="00DA0FE0" w:rsidP="00387473">
      <w:pPr>
        <w:spacing w:after="0"/>
        <w:ind w:left="720" w:hanging="720"/>
        <w:jc w:val="both"/>
        <w:rPr>
          <w:rFonts w:ascii="Arial" w:hAnsi="Arial" w:cs="Arial"/>
          <w:b/>
        </w:rPr>
      </w:pPr>
      <w:r w:rsidRPr="00BA1A93">
        <w:rPr>
          <w:rFonts w:ascii="Arial" w:hAnsi="Arial" w:cs="Arial"/>
        </w:rPr>
        <w:tab/>
      </w:r>
      <w:r w:rsidRPr="00BA1A93">
        <w:rPr>
          <w:rFonts w:ascii="Arial" w:hAnsi="Arial" w:cs="Arial"/>
          <w:b/>
        </w:rPr>
        <w:t>4.1</w:t>
      </w:r>
      <w:r w:rsidRPr="00BA1A93">
        <w:rPr>
          <w:rFonts w:ascii="Arial" w:hAnsi="Arial" w:cs="Arial"/>
          <w:b/>
        </w:rPr>
        <w:tab/>
        <w:t>Progress against current milestones</w:t>
      </w:r>
    </w:p>
    <w:p w:rsidR="00DA0FE0" w:rsidRDefault="00DA0FE0" w:rsidP="00DA0FE0">
      <w:pPr>
        <w:spacing w:after="0"/>
        <w:ind w:left="1440"/>
        <w:jc w:val="both"/>
        <w:rPr>
          <w:rFonts w:ascii="Arial" w:hAnsi="Arial" w:cs="Arial"/>
        </w:rPr>
      </w:pPr>
      <w:r w:rsidRPr="00BA1A93">
        <w:rPr>
          <w:rFonts w:ascii="Arial" w:hAnsi="Arial" w:cs="Arial"/>
        </w:rPr>
        <w:t>Progress against milestones in the current Access Agreement ha</w:t>
      </w:r>
      <w:r>
        <w:rPr>
          <w:rFonts w:ascii="Arial" w:hAnsi="Arial" w:cs="Arial"/>
        </w:rPr>
        <w:t>s</w:t>
      </w:r>
      <w:r w:rsidRPr="00BA1A93">
        <w:rPr>
          <w:rFonts w:ascii="Arial" w:hAnsi="Arial" w:cs="Arial"/>
        </w:rPr>
        <w:t xml:space="preserve"> to date been patchy</w:t>
      </w:r>
      <w:r>
        <w:rPr>
          <w:rFonts w:ascii="Arial" w:hAnsi="Arial" w:cs="Arial"/>
        </w:rPr>
        <w:t>:</w:t>
      </w:r>
      <w:r w:rsidRPr="00BA1A93">
        <w:rPr>
          <w:rFonts w:ascii="Arial" w:hAnsi="Arial" w:cs="Arial"/>
        </w:rPr>
        <w:t xml:space="preserve"> </w:t>
      </w:r>
    </w:p>
    <w:p w:rsidR="00D73A09" w:rsidRPr="00BA1A93" w:rsidRDefault="00D73A09" w:rsidP="00DA0FE0">
      <w:pPr>
        <w:spacing w:after="0"/>
        <w:ind w:left="1440"/>
        <w:jc w:val="both"/>
        <w:rPr>
          <w:rFonts w:ascii="Arial" w:hAnsi="Arial" w:cs="Arial"/>
        </w:rPr>
      </w:pPr>
    </w:p>
    <w:tbl>
      <w:tblPr>
        <w:tblStyle w:val="TableGrid"/>
        <w:tblW w:w="0" w:type="auto"/>
        <w:tblInd w:w="1548" w:type="dxa"/>
        <w:tblLook w:val="04A0"/>
      </w:tblPr>
      <w:tblGrid>
        <w:gridCol w:w="3150"/>
        <w:gridCol w:w="1980"/>
        <w:gridCol w:w="1713"/>
        <w:gridCol w:w="2003"/>
      </w:tblGrid>
      <w:tr w:rsidR="00DA0FE0" w:rsidRPr="00BA1A93" w:rsidTr="00A0285D">
        <w:tc>
          <w:tcPr>
            <w:tcW w:w="3150" w:type="dxa"/>
          </w:tcPr>
          <w:p w:rsidR="00DA0FE0" w:rsidRPr="00BA1A93" w:rsidRDefault="00DA0FE0" w:rsidP="00A0285D">
            <w:pPr>
              <w:jc w:val="both"/>
              <w:rPr>
                <w:rFonts w:ascii="Arial" w:hAnsi="Arial" w:cs="Arial"/>
                <w:b/>
              </w:rPr>
            </w:pPr>
            <w:r w:rsidRPr="00BA1A93">
              <w:rPr>
                <w:rFonts w:ascii="Arial" w:hAnsi="Arial" w:cs="Arial"/>
                <w:b/>
              </w:rPr>
              <w:t>Milestone Type</w:t>
            </w:r>
          </w:p>
        </w:tc>
        <w:tc>
          <w:tcPr>
            <w:tcW w:w="1980" w:type="dxa"/>
          </w:tcPr>
          <w:p w:rsidR="00DA0FE0" w:rsidRPr="00BA1A93" w:rsidRDefault="00DA0FE0" w:rsidP="00A0285D">
            <w:pPr>
              <w:jc w:val="both"/>
              <w:rPr>
                <w:rFonts w:ascii="Arial" w:hAnsi="Arial" w:cs="Arial"/>
                <w:b/>
              </w:rPr>
            </w:pPr>
            <w:r w:rsidRPr="00BA1A93">
              <w:rPr>
                <w:rFonts w:ascii="Arial" w:hAnsi="Arial" w:cs="Arial"/>
                <w:b/>
              </w:rPr>
              <w:t>Milestone</w:t>
            </w:r>
          </w:p>
        </w:tc>
        <w:tc>
          <w:tcPr>
            <w:tcW w:w="1713" w:type="dxa"/>
          </w:tcPr>
          <w:p w:rsidR="00DA0FE0" w:rsidRPr="00BA1A93" w:rsidRDefault="00DA0FE0" w:rsidP="00A0285D">
            <w:pPr>
              <w:jc w:val="both"/>
              <w:rPr>
                <w:rFonts w:ascii="Arial" w:hAnsi="Arial" w:cs="Arial"/>
                <w:b/>
              </w:rPr>
            </w:pPr>
            <w:r w:rsidRPr="00BA1A93">
              <w:rPr>
                <w:rFonts w:ascii="Arial" w:hAnsi="Arial" w:cs="Arial"/>
                <w:b/>
              </w:rPr>
              <w:t>Achievement</w:t>
            </w:r>
          </w:p>
        </w:tc>
        <w:tc>
          <w:tcPr>
            <w:tcW w:w="2003" w:type="dxa"/>
          </w:tcPr>
          <w:p w:rsidR="00DA0FE0" w:rsidRPr="00BA1A93" w:rsidRDefault="00DA0FE0" w:rsidP="00A0285D">
            <w:pPr>
              <w:jc w:val="both"/>
              <w:rPr>
                <w:rFonts w:ascii="Arial" w:hAnsi="Arial" w:cs="Arial"/>
                <w:b/>
              </w:rPr>
            </w:pPr>
            <w:r w:rsidRPr="00BA1A93">
              <w:rPr>
                <w:rFonts w:ascii="Arial" w:hAnsi="Arial" w:cs="Arial"/>
                <w:b/>
              </w:rPr>
              <w:t>Location-adjusted Benchmark</w:t>
            </w:r>
          </w:p>
        </w:tc>
      </w:tr>
      <w:tr w:rsidR="00DA0FE0" w:rsidRPr="00BA1A93" w:rsidTr="00A0285D">
        <w:tc>
          <w:tcPr>
            <w:tcW w:w="3150" w:type="dxa"/>
          </w:tcPr>
          <w:p w:rsidR="00DA0FE0" w:rsidRPr="00BA1A93" w:rsidRDefault="00DA0FE0" w:rsidP="00A0285D">
            <w:pPr>
              <w:rPr>
                <w:rFonts w:ascii="Arial" w:hAnsi="Arial" w:cs="Arial"/>
              </w:rPr>
            </w:pPr>
            <w:r w:rsidRPr="00BA1A93">
              <w:rPr>
                <w:rFonts w:ascii="Arial" w:hAnsi="Arial" w:cs="Arial"/>
              </w:rPr>
              <w:t>% of young full-time degree entrants from socio-economic groups 4-7</w:t>
            </w:r>
          </w:p>
        </w:tc>
        <w:tc>
          <w:tcPr>
            <w:tcW w:w="1980" w:type="dxa"/>
          </w:tcPr>
          <w:p w:rsidR="00DA0FE0" w:rsidRPr="00BA1A93" w:rsidRDefault="00DA0FE0" w:rsidP="00A0285D">
            <w:pPr>
              <w:rPr>
                <w:rFonts w:ascii="Arial" w:hAnsi="Arial" w:cs="Arial"/>
              </w:rPr>
            </w:pPr>
            <w:r w:rsidRPr="00BA1A93">
              <w:rPr>
                <w:rFonts w:ascii="Arial" w:hAnsi="Arial" w:cs="Arial"/>
              </w:rPr>
              <w:t>2008 milestone – 25%</w:t>
            </w:r>
          </w:p>
        </w:tc>
        <w:tc>
          <w:tcPr>
            <w:tcW w:w="1713" w:type="dxa"/>
          </w:tcPr>
          <w:p w:rsidR="00DA0FE0" w:rsidRPr="00BA1A93" w:rsidRDefault="00DA0FE0" w:rsidP="00A0285D">
            <w:pPr>
              <w:rPr>
                <w:rFonts w:ascii="Arial" w:hAnsi="Arial" w:cs="Arial"/>
              </w:rPr>
            </w:pPr>
            <w:r w:rsidRPr="00BA1A93">
              <w:rPr>
                <w:rFonts w:ascii="Arial" w:hAnsi="Arial" w:cs="Arial"/>
              </w:rPr>
              <w:t>2008 actual – 22.7%</w:t>
            </w:r>
          </w:p>
        </w:tc>
        <w:tc>
          <w:tcPr>
            <w:tcW w:w="2003" w:type="dxa"/>
          </w:tcPr>
          <w:p w:rsidR="00DA0FE0" w:rsidRPr="00BA1A93" w:rsidRDefault="00DA0FE0" w:rsidP="00A0285D">
            <w:pPr>
              <w:rPr>
                <w:rFonts w:ascii="Arial" w:hAnsi="Arial" w:cs="Arial"/>
              </w:rPr>
            </w:pPr>
            <w:r w:rsidRPr="00BA1A93">
              <w:rPr>
                <w:rFonts w:ascii="Arial" w:hAnsi="Arial" w:cs="Arial"/>
              </w:rPr>
              <w:t>2008 benchmark – 28.8%</w:t>
            </w:r>
          </w:p>
        </w:tc>
      </w:tr>
      <w:tr w:rsidR="00DA0FE0" w:rsidRPr="00BA1A93" w:rsidTr="00A0285D">
        <w:tc>
          <w:tcPr>
            <w:tcW w:w="3150" w:type="dxa"/>
          </w:tcPr>
          <w:p w:rsidR="00DA0FE0" w:rsidRPr="00BA1A93" w:rsidRDefault="00DA0FE0" w:rsidP="00A0285D">
            <w:pPr>
              <w:rPr>
                <w:rFonts w:ascii="Arial" w:hAnsi="Arial" w:cs="Arial"/>
              </w:rPr>
            </w:pPr>
            <w:r w:rsidRPr="00BA1A93">
              <w:rPr>
                <w:rFonts w:ascii="Arial" w:hAnsi="Arial" w:cs="Arial"/>
              </w:rPr>
              <w:t>% of young full-time degree entrants from low participation neighbourhoods</w:t>
            </w:r>
          </w:p>
        </w:tc>
        <w:tc>
          <w:tcPr>
            <w:tcW w:w="1980" w:type="dxa"/>
          </w:tcPr>
          <w:p w:rsidR="00DA0FE0" w:rsidRPr="00BA1A93" w:rsidRDefault="00DA0FE0" w:rsidP="00A0285D">
            <w:pPr>
              <w:rPr>
                <w:rFonts w:ascii="Arial" w:hAnsi="Arial" w:cs="Arial"/>
              </w:rPr>
            </w:pPr>
            <w:r w:rsidRPr="00BA1A93">
              <w:rPr>
                <w:rFonts w:ascii="Arial" w:hAnsi="Arial" w:cs="Arial"/>
              </w:rPr>
              <w:t>2008 milestone – 6%</w:t>
            </w:r>
          </w:p>
        </w:tc>
        <w:tc>
          <w:tcPr>
            <w:tcW w:w="1713" w:type="dxa"/>
          </w:tcPr>
          <w:p w:rsidR="00DA0FE0" w:rsidRPr="00BA1A93" w:rsidRDefault="00DA0FE0" w:rsidP="00A0285D">
            <w:pPr>
              <w:rPr>
                <w:rFonts w:ascii="Arial" w:hAnsi="Arial" w:cs="Arial"/>
              </w:rPr>
            </w:pPr>
            <w:r w:rsidRPr="00BA1A93">
              <w:rPr>
                <w:rFonts w:ascii="Arial" w:hAnsi="Arial" w:cs="Arial"/>
              </w:rPr>
              <w:t>2008 actual – 5.2%</w:t>
            </w:r>
          </w:p>
        </w:tc>
        <w:tc>
          <w:tcPr>
            <w:tcW w:w="2003" w:type="dxa"/>
          </w:tcPr>
          <w:p w:rsidR="00DA0FE0" w:rsidRPr="00BA1A93" w:rsidRDefault="00DA0FE0" w:rsidP="00A0285D">
            <w:pPr>
              <w:rPr>
                <w:rFonts w:ascii="Arial" w:hAnsi="Arial" w:cs="Arial"/>
              </w:rPr>
            </w:pPr>
            <w:r w:rsidRPr="00BA1A93">
              <w:rPr>
                <w:rFonts w:ascii="Arial" w:hAnsi="Arial" w:cs="Arial"/>
              </w:rPr>
              <w:t>2008 benchmark – 8.2%</w:t>
            </w:r>
          </w:p>
        </w:tc>
      </w:tr>
      <w:tr w:rsidR="00DA0FE0" w:rsidRPr="00BA1A93" w:rsidTr="00A0285D">
        <w:tc>
          <w:tcPr>
            <w:tcW w:w="3150" w:type="dxa"/>
          </w:tcPr>
          <w:p w:rsidR="00DA0FE0" w:rsidRPr="00BA1A93" w:rsidRDefault="00DA0FE0" w:rsidP="00A0285D">
            <w:pPr>
              <w:rPr>
                <w:rFonts w:ascii="Arial" w:hAnsi="Arial" w:cs="Arial"/>
              </w:rPr>
            </w:pPr>
            <w:r w:rsidRPr="00BA1A93">
              <w:rPr>
                <w:rFonts w:ascii="Arial" w:hAnsi="Arial" w:cs="Arial"/>
              </w:rPr>
              <w:t xml:space="preserve">Mature students as a % of </w:t>
            </w:r>
            <w:r w:rsidRPr="00BA1A93">
              <w:rPr>
                <w:rFonts w:ascii="Arial" w:hAnsi="Arial" w:cs="Arial"/>
              </w:rPr>
              <w:lastRenderedPageBreak/>
              <w:t>intake (on a rolling average of three years)</w:t>
            </w:r>
          </w:p>
        </w:tc>
        <w:tc>
          <w:tcPr>
            <w:tcW w:w="1980" w:type="dxa"/>
          </w:tcPr>
          <w:p w:rsidR="00DA0FE0" w:rsidRPr="00BA1A93" w:rsidRDefault="00DA0FE0" w:rsidP="00A0285D">
            <w:pPr>
              <w:rPr>
                <w:rFonts w:ascii="Arial" w:hAnsi="Arial" w:cs="Arial"/>
              </w:rPr>
            </w:pPr>
            <w:r w:rsidRPr="00BA1A93">
              <w:rPr>
                <w:rFonts w:ascii="Arial" w:hAnsi="Arial" w:cs="Arial"/>
              </w:rPr>
              <w:lastRenderedPageBreak/>
              <w:t xml:space="preserve">2008 milestone – </w:t>
            </w:r>
            <w:r w:rsidRPr="00BA1A93">
              <w:rPr>
                <w:rFonts w:ascii="Arial" w:hAnsi="Arial" w:cs="Arial"/>
              </w:rPr>
              <w:lastRenderedPageBreak/>
              <w:t>5.7%</w:t>
            </w:r>
          </w:p>
        </w:tc>
        <w:tc>
          <w:tcPr>
            <w:tcW w:w="1713" w:type="dxa"/>
          </w:tcPr>
          <w:p w:rsidR="00DA0FE0" w:rsidRPr="00BA1A93" w:rsidRDefault="00DA0FE0" w:rsidP="00A0285D">
            <w:pPr>
              <w:rPr>
                <w:rFonts w:ascii="Arial" w:hAnsi="Arial" w:cs="Arial"/>
              </w:rPr>
            </w:pPr>
            <w:r w:rsidRPr="00BA1A93">
              <w:rPr>
                <w:rFonts w:ascii="Arial" w:hAnsi="Arial" w:cs="Arial"/>
              </w:rPr>
              <w:lastRenderedPageBreak/>
              <w:t xml:space="preserve">2008 actual – </w:t>
            </w:r>
            <w:r w:rsidRPr="00BA1A93">
              <w:rPr>
                <w:rFonts w:ascii="Arial" w:hAnsi="Arial" w:cs="Arial"/>
              </w:rPr>
              <w:lastRenderedPageBreak/>
              <w:t>3.7%</w:t>
            </w:r>
          </w:p>
        </w:tc>
        <w:tc>
          <w:tcPr>
            <w:tcW w:w="2003" w:type="dxa"/>
          </w:tcPr>
          <w:p w:rsidR="00DA0FE0" w:rsidRPr="00BA1A93" w:rsidRDefault="00DA0FE0" w:rsidP="00A0285D">
            <w:pPr>
              <w:rPr>
                <w:rFonts w:ascii="Arial" w:hAnsi="Arial" w:cs="Arial"/>
              </w:rPr>
            </w:pPr>
            <w:r w:rsidRPr="00BA1A93">
              <w:rPr>
                <w:rFonts w:ascii="Arial" w:hAnsi="Arial" w:cs="Arial"/>
              </w:rPr>
              <w:lastRenderedPageBreak/>
              <w:t>N/A</w:t>
            </w:r>
          </w:p>
        </w:tc>
      </w:tr>
      <w:tr w:rsidR="00DA0FE0" w:rsidRPr="00BA1A93" w:rsidTr="00A0285D">
        <w:tc>
          <w:tcPr>
            <w:tcW w:w="3150" w:type="dxa"/>
          </w:tcPr>
          <w:p w:rsidR="00DA0FE0" w:rsidRPr="00BA1A93" w:rsidRDefault="00DA0FE0" w:rsidP="00A0285D">
            <w:pPr>
              <w:rPr>
                <w:rFonts w:ascii="Arial" w:hAnsi="Arial" w:cs="Arial"/>
              </w:rPr>
            </w:pPr>
            <w:r w:rsidRPr="00BA1A93">
              <w:rPr>
                <w:rFonts w:ascii="Arial" w:hAnsi="Arial" w:cs="Arial"/>
              </w:rPr>
              <w:lastRenderedPageBreak/>
              <w:t>% of mature full-time first degree entrants with no previous HE and from low participation neighbourhoods (on a rolling average of three years)</w:t>
            </w:r>
          </w:p>
        </w:tc>
        <w:tc>
          <w:tcPr>
            <w:tcW w:w="1980" w:type="dxa"/>
          </w:tcPr>
          <w:p w:rsidR="00DA0FE0" w:rsidRPr="00BA1A93" w:rsidRDefault="00DA0FE0" w:rsidP="00A0285D">
            <w:pPr>
              <w:rPr>
                <w:rFonts w:ascii="Arial" w:hAnsi="Arial" w:cs="Arial"/>
              </w:rPr>
            </w:pPr>
            <w:r w:rsidRPr="00BA1A93">
              <w:rPr>
                <w:rFonts w:ascii="Arial" w:hAnsi="Arial" w:cs="Arial"/>
              </w:rPr>
              <w:t>2008 milestone – 10.5%</w:t>
            </w:r>
          </w:p>
        </w:tc>
        <w:tc>
          <w:tcPr>
            <w:tcW w:w="1713" w:type="dxa"/>
          </w:tcPr>
          <w:p w:rsidR="00DA0FE0" w:rsidRPr="00BA1A93" w:rsidRDefault="00DA0FE0" w:rsidP="00A0285D">
            <w:pPr>
              <w:rPr>
                <w:rFonts w:ascii="Arial" w:hAnsi="Arial" w:cs="Arial"/>
              </w:rPr>
            </w:pPr>
            <w:r w:rsidRPr="00BA1A93">
              <w:rPr>
                <w:rFonts w:ascii="Arial" w:hAnsi="Arial" w:cs="Arial"/>
              </w:rPr>
              <w:t>2008 actual – 10.8%</w:t>
            </w:r>
          </w:p>
        </w:tc>
        <w:tc>
          <w:tcPr>
            <w:tcW w:w="2003" w:type="dxa"/>
          </w:tcPr>
          <w:p w:rsidR="00DA0FE0" w:rsidRPr="00BA1A93" w:rsidRDefault="00DA0FE0" w:rsidP="00A0285D">
            <w:pPr>
              <w:rPr>
                <w:rFonts w:ascii="Arial" w:hAnsi="Arial" w:cs="Arial"/>
              </w:rPr>
            </w:pPr>
            <w:r w:rsidRPr="00BA1A93">
              <w:rPr>
                <w:rFonts w:ascii="Arial" w:hAnsi="Arial" w:cs="Arial"/>
              </w:rPr>
              <w:t>2008 benchmark – 16.7% (15.8% using a rolling average of three years)</w:t>
            </w:r>
          </w:p>
        </w:tc>
      </w:tr>
      <w:tr w:rsidR="00DA0FE0" w:rsidRPr="00BA1A93" w:rsidTr="00A0285D">
        <w:tc>
          <w:tcPr>
            <w:tcW w:w="3150" w:type="dxa"/>
          </w:tcPr>
          <w:p w:rsidR="00DA0FE0" w:rsidRPr="00BA1A93" w:rsidRDefault="00DA0FE0" w:rsidP="00A0285D">
            <w:pPr>
              <w:rPr>
                <w:rFonts w:ascii="Arial" w:hAnsi="Arial" w:cs="Arial"/>
              </w:rPr>
            </w:pPr>
            <w:r w:rsidRPr="00BA1A93">
              <w:rPr>
                <w:rFonts w:ascii="Arial" w:hAnsi="Arial" w:cs="Arial"/>
              </w:rPr>
              <w:t>Ethnic minority applications as a % of total</w:t>
            </w:r>
          </w:p>
        </w:tc>
        <w:tc>
          <w:tcPr>
            <w:tcW w:w="1980" w:type="dxa"/>
          </w:tcPr>
          <w:p w:rsidR="00DA0FE0" w:rsidRPr="00BA1A93" w:rsidRDefault="00DA0FE0" w:rsidP="00A0285D">
            <w:pPr>
              <w:rPr>
                <w:rFonts w:ascii="Arial" w:hAnsi="Arial" w:cs="Arial"/>
              </w:rPr>
            </w:pPr>
            <w:r w:rsidRPr="00BA1A93">
              <w:rPr>
                <w:rFonts w:ascii="Arial" w:hAnsi="Arial" w:cs="Arial"/>
              </w:rPr>
              <w:t>2007 milestone – 13%</w:t>
            </w:r>
          </w:p>
        </w:tc>
        <w:tc>
          <w:tcPr>
            <w:tcW w:w="1713" w:type="dxa"/>
          </w:tcPr>
          <w:p w:rsidR="00DA0FE0" w:rsidRPr="00BA1A93" w:rsidRDefault="00DA0FE0" w:rsidP="00A0285D">
            <w:pPr>
              <w:rPr>
                <w:rFonts w:ascii="Arial" w:hAnsi="Arial" w:cs="Arial"/>
              </w:rPr>
            </w:pPr>
            <w:r w:rsidRPr="00BA1A93">
              <w:rPr>
                <w:rFonts w:ascii="Arial" w:hAnsi="Arial" w:cs="Arial"/>
              </w:rPr>
              <w:t>2009 actual – 16%</w:t>
            </w:r>
          </w:p>
        </w:tc>
        <w:tc>
          <w:tcPr>
            <w:tcW w:w="2003" w:type="dxa"/>
          </w:tcPr>
          <w:p w:rsidR="00DA0FE0" w:rsidRPr="00BA1A93" w:rsidRDefault="00DA0FE0" w:rsidP="00A0285D">
            <w:pPr>
              <w:rPr>
                <w:rFonts w:ascii="Arial" w:hAnsi="Arial" w:cs="Arial"/>
              </w:rPr>
            </w:pPr>
            <w:r w:rsidRPr="00BA1A93">
              <w:rPr>
                <w:rFonts w:ascii="Arial" w:hAnsi="Arial" w:cs="Arial"/>
              </w:rPr>
              <w:t>N/A</w:t>
            </w:r>
          </w:p>
        </w:tc>
      </w:tr>
      <w:tr w:rsidR="00DA0FE0" w:rsidRPr="00BA1A93" w:rsidTr="00A0285D">
        <w:tc>
          <w:tcPr>
            <w:tcW w:w="3150" w:type="dxa"/>
          </w:tcPr>
          <w:p w:rsidR="00DA0FE0" w:rsidRPr="00BA1A93" w:rsidRDefault="00DA0FE0" w:rsidP="00A0285D">
            <w:pPr>
              <w:rPr>
                <w:rFonts w:ascii="Arial" w:hAnsi="Arial" w:cs="Arial"/>
              </w:rPr>
            </w:pPr>
            <w:r w:rsidRPr="00BA1A93">
              <w:rPr>
                <w:rFonts w:ascii="Arial" w:hAnsi="Arial" w:cs="Arial"/>
              </w:rPr>
              <w:t>Ethnic minority students accepted as a % of those who received offers</w:t>
            </w:r>
          </w:p>
        </w:tc>
        <w:tc>
          <w:tcPr>
            <w:tcW w:w="1980" w:type="dxa"/>
          </w:tcPr>
          <w:p w:rsidR="00DA0FE0" w:rsidRPr="00BA1A93" w:rsidRDefault="00DA0FE0" w:rsidP="00A0285D">
            <w:pPr>
              <w:rPr>
                <w:rFonts w:ascii="Arial" w:hAnsi="Arial" w:cs="Arial"/>
              </w:rPr>
            </w:pPr>
            <w:r w:rsidRPr="00BA1A93">
              <w:rPr>
                <w:rFonts w:ascii="Arial" w:hAnsi="Arial" w:cs="Arial"/>
              </w:rPr>
              <w:t>2007 milestone – 20%</w:t>
            </w:r>
          </w:p>
        </w:tc>
        <w:tc>
          <w:tcPr>
            <w:tcW w:w="1713" w:type="dxa"/>
          </w:tcPr>
          <w:p w:rsidR="00DA0FE0" w:rsidRPr="00BA1A93" w:rsidRDefault="00DA0FE0" w:rsidP="00A0285D">
            <w:pPr>
              <w:rPr>
                <w:rFonts w:ascii="Arial" w:hAnsi="Arial" w:cs="Arial"/>
              </w:rPr>
            </w:pPr>
            <w:r w:rsidRPr="00BA1A93">
              <w:rPr>
                <w:rFonts w:ascii="Arial" w:hAnsi="Arial" w:cs="Arial"/>
              </w:rPr>
              <w:t>2009 actual – 18%</w:t>
            </w:r>
          </w:p>
        </w:tc>
        <w:tc>
          <w:tcPr>
            <w:tcW w:w="2003" w:type="dxa"/>
          </w:tcPr>
          <w:p w:rsidR="00DA0FE0" w:rsidRPr="00BA1A93" w:rsidRDefault="00DA0FE0" w:rsidP="00A0285D">
            <w:pPr>
              <w:rPr>
                <w:rFonts w:ascii="Arial" w:hAnsi="Arial" w:cs="Arial"/>
              </w:rPr>
            </w:pPr>
            <w:r w:rsidRPr="00BA1A93">
              <w:rPr>
                <w:rFonts w:ascii="Arial" w:hAnsi="Arial" w:cs="Arial"/>
              </w:rPr>
              <w:t>N/A</w:t>
            </w:r>
          </w:p>
        </w:tc>
      </w:tr>
    </w:tbl>
    <w:p w:rsidR="00DA0FE0" w:rsidRDefault="00DA0FE0" w:rsidP="00DA0FE0">
      <w:pPr>
        <w:spacing w:after="0"/>
        <w:ind w:left="2160"/>
        <w:jc w:val="both"/>
        <w:rPr>
          <w:rFonts w:ascii="Arial" w:hAnsi="Arial" w:cs="Arial"/>
        </w:rPr>
      </w:pPr>
    </w:p>
    <w:p w:rsidR="00387473" w:rsidRPr="00BA1A93" w:rsidRDefault="00387473" w:rsidP="00387473">
      <w:pPr>
        <w:tabs>
          <w:tab w:val="left" w:pos="1418"/>
        </w:tabs>
        <w:spacing w:after="0"/>
        <w:ind w:left="1418"/>
        <w:rPr>
          <w:rFonts w:ascii="Arial" w:hAnsi="Arial" w:cs="Arial"/>
        </w:rPr>
      </w:pPr>
      <w:r>
        <w:rPr>
          <w:rFonts w:ascii="Arial" w:hAnsi="Arial" w:cs="Arial"/>
        </w:rPr>
        <w:t xml:space="preserve">The quality of the data underpinning the first HESA PI above (socio-economic group) is being questioned nationally and we may opt to drop this milestone and focus on the second one. </w:t>
      </w:r>
      <w:r>
        <w:rPr>
          <w:rFonts w:ascii="Arial" w:hAnsi="Arial" w:cs="Arial"/>
        </w:rPr>
        <w:br/>
      </w:r>
    </w:p>
    <w:p w:rsidR="00D73A09" w:rsidRPr="00BA1A93" w:rsidRDefault="00DA0FE0" w:rsidP="00387473">
      <w:pPr>
        <w:spacing w:after="0"/>
        <w:ind w:left="1440" w:hanging="720"/>
        <w:jc w:val="both"/>
        <w:rPr>
          <w:rFonts w:ascii="Arial" w:hAnsi="Arial" w:cs="Arial"/>
          <w:b/>
        </w:rPr>
      </w:pPr>
      <w:r w:rsidRPr="00BA1A93">
        <w:rPr>
          <w:rFonts w:ascii="Arial" w:hAnsi="Arial" w:cs="Arial"/>
          <w:b/>
        </w:rPr>
        <w:t>4.2</w:t>
      </w:r>
      <w:r w:rsidRPr="00BA1A93">
        <w:rPr>
          <w:rFonts w:ascii="Arial" w:hAnsi="Arial" w:cs="Arial"/>
          <w:b/>
        </w:rPr>
        <w:tab/>
        <w:t>Potential Required 2012-13 spend on outreach and bursaries</w:t>
      </w:r>
    </w:p>
    <w:p w:rsidR="00FD047F" w:rsidRDefault="00FD047F" w:rsidP="00DA0FE0">
      <w:pPr>
        <w:spacing w:after="0"/>
        <w:ind w:left="1440" w:hanging="720"/>
        <w:jc w:val="both"/>
        <w:rPr>
          <w:rFonts w:ascii="Arial" w:hAnsi="Arial" w:cs="Arial"/>
          <w:b/>
        </w:rPr>
      </w:pPr>
      <w:r>
        <w:rPr>
          <w:rFonts w:ascii="Arial" w:hAnsi="Arial" w:cs="Arial"/>
          <w:b/>
        </w:rPr>
        <w:tab/>
      </w:r>
      <w:r>
        <w:rPr>
          <w:rFonts w:ascii="Arial" w:hAnsi="Arial" w:cs="Arial"/>
        </w:rPr>
        <w:t>In its guidance letter to OFFA, BIS stated that the expenditure on outreach and bursaries should be the current amount (20% of additional fee income under the old scheme) and a proportion (likely to be at least 20%) of the additional fee income from increased fees (any amount above the Government’s br</w:t>
      </w:r>
      <w:r w:rsidR="00387473">
        <w:rPr>
          <w:rFonts w:ascii="Arial" w:hAnsi="Arial" w:cs="Arial"/>
        </w:rPr>
        <w:t>eak-even fee of £7,000/£7,500).</w:t>
      </w:r>
      <w:r>
        <w:rPr>
          <w:rFonts w:ascii="Arial" w:hAnsi="Arial" w:cs="Arial"/>
        </w:rPr>
        <w:t xml:space="preserve"> </w:t>
      </w:r>
      <w:r w:rsidR="00387473">
        <w:rPr>
          <w:rFonts w:ascii="Arial" w:hAnsi="Arial" w:cs="Arial"/>
        </w:rPr>
        <w:t xml:space="preserve">To charge fees at the higher end of the range may require a greater proportion of spend on outreach and support for students. </w:t>
      </w:r>
      <w:r>
        <w:rPr>
          <w:rFonts w:ascii="Arial" w:hAnsi="Arial" w:cs="Arial"/>
        </w:rPr>
        <w:t>Further clarification may be available in the guidance from OFFA</w:t>
      </w:r>
      <w:r w:rsidR="00AD1010">
        <w:rPr>
          <w:rFonts w:ascii="Arial" w:hAnsi="Arial" w:cs="Arial"/>
        </w:rPr>
        <w:t xml:space="preserve"> due out at the beginning of March</w:t>
      </w:r>
      <w:r>
        <w:rPr>
          <w:rFonts w:ascii="Arial" w:hAnsi="Arial" w:cs="Arial"/>
        </w:rPr>
        <w:t>.</w:t>
      </w:r>
      <w:r w:rsidR="00DA0FE0" w:rsidRPr="00BA1A93">
        <w:rPr>
          <w:rFonts w:ascii="Arial" w:hAnsi="Arial" w:cs="Arial"/>
          <w:b/>
        </w:rPr>
        <w:tab/>
      </w:r>
    </w:p>
    <w:p w:rsidR="00FD047F" w:rsidRDefault="00FD047F" w:rsidP="00DA0FE0">
      <w:pPr>
        <w:spacing w:after="0"/>
        <w:ind w:left="1440" w:hanging="720"/>
        <w:jc w:val="both"/>
        <w:rPr>
          <w:rFonts w:ascii="Arial" w:hAnsi="Arial" w:cs="Arial"/>
          <w:b/>
        </w:rPr>
      </w:pPr>
    </w:p>
    <w:p w:rsidR="00D73A09" w:rsidRPr="00BA1A93" w:rsidRDefault="00387473" w:rsidP="00DA0FE0">
      <w:pPr>
        <w:spacing w:after="0"/>
        <w:ind w:left="1440" w:hanging="720"/>
        <w:jc w:val="both"/>
        <w:rPr>
          <w:rFonts w:ascii="Arial" w:hAnsi="Arial" w:cs="Arial"/>
          <w:b/>
        </w:rPr>
      </w:pPr>
      <w:r>
        <w:rPr>
          <w:rFonts w:ascii="Arial" w:hAnsi="Arial" w:cs="Arial"/>
          <w:b/>
        </w:rPr>
        <w:t>4.3</w:t>
      </w:r>
      <w:r>
        <w:rPr>
          <w:rFonts w:ascii="Arial" w:hAnsi="Arial" w:cs="Arial"/>
          <w:b/>
        </w:rPr>
        <w:tab/>
        <w:t>A</w:t>
      </w:r>
      <w:r w:rsidR="00DA0FE0" w:rsidRPr="00BA1A93">
        <w:rPr>
          <w:rFonts w:ascii="Arial" w:hAnsi="Arial" w:cs="Arial"/>
          <w:b/>
        </w:rPr>
        <w:t xml:space="preserve">dministering </w:t>
      </w:r>
      <w:r>
        <w:rPr>
          <w:rFonts w:ascii="Arial" w:hAnsi="Arial" w:cs="Arial"/>
          <w:b/>
        </w:rPr>
        <w:t xml:space="preserve">financial support to students </w:t>
      </w:r>
    </w:p>
    <w:p w:rsidR="00DA0FE0" w:rsidRDefault="00DA0FE0" w:rsidP="00DA0FE0">
      <w:pPr>
        <w:spacing w:after="0"/>
        <w:ind w:left="1440" w:hanging="720"/>
        <w:jc w:val="both"/>
        <w:rPr>
          <w:rFonts w:ascii="Arial" w:hAnsi="Arial" w:cs="Arial"/>
        </w:rPr>
      </w:pPr>
      <w:r w:rsidRPr="00BA1A93">
        <w:rPr>
          <w:rFonts w:ascii="Arial" w:hAnsi="Arial" w:cs="Arial"/>
          <w:b/>
        </w:rPr>
        <w:tab/>
      </w:r>
      <w:r w:rsidR="00FD047F" w:rsidRPr="00812BE7">
        <w:rPr>
          <w:rFonts w:ascii="Arial" w:hAnsi="Arial" w:cs="Arial"/>
        </w:rPr>
        <w:t xml:space="preserve">The current bursary scheme is relatively straightforward </w:t>
      </w:r>
      <w:r w:rsidR="00AD1010">
        <w:rPr>
          <w:rFonts w:ascii="Arial" w:hAnsi="Arial" w:cs="Arial"/>
        </w:rPr>
        <w:t>to administer through HEBSS software (student finance system</w:t>
      </w:r>
      <w:r w:rsidR="00FD047F" w:rsidRPr="00812BE7">
        <w:rPr>
          <w:rFonts w:ascii="Arial" w:hAnsi="Arial" w:cs="Arial"/>
        </w:rPr>
        <w:t xml:space="preserve"> provided by the SLC for which a modest subscription is payable</w:t>
      </w:r>
      <w:r w:rsidR="00AD1010">
        <w:rPr>
          <w:rFonts w:ascii="Arial" w:hAnsi="Arial" w:cs="Arial"/>
        </w:rPr>
        <w:t>)</w:t>
      </w:r>
      <w:r w:rsidR="00FD047F" w:rsidRPr="00812BE7">
        <w:rPr>
          <w:rFonts w:ascii="Arial" w:hAnsi="Arial" w:cs="Arial"/>
        </w:rPr>
        <w:t>. Total additional administration costs are in the region of £</w:t>
      </w:r>
      <w:r w:rsidR="00FD047F">
        <w:rPr>
          <w:rFonts w:ascii="Arial" w:hAnsi="Arial" w:cs="Arial"/>
        </w:rPr>
        <w:t>10</w:t>
      </w:r>
      <w:r w:rsidR="00FD047F" w:rsidRPr="00812BE7">
        <w:rPr>
          <w:rFonts w:ascii="Arial" w:hAnsi="Arial" w:cs="Arial"/>
        </w:rPr>
        <w:t>0k which is very low considering over £3million is disbursed. It should be noted that it seems inevitable that with the N</w:t>
      </w:r>
      <w:r w:rsidR="00AD1010">
        <w:rPr>
          <w:rFonts w:ascii="Arial" w:hAnsi="Arial" w:cs="Arial"/>
        </w:rPr>
        <w:t xml:space="preserve">ational </w:t>
      </w:r>
      <w:r w:rsidR="00FD047F" w:rsidRPr="00812BE7">
        <w:rPr>
          <w:rFonts w:ascii="Arial" w:hAnsi="Arial" w:cs="Arial"/>
        </w:rPr>
        <w:t>S</w:t>
      </w:r>
      <w:r w:rsidR="00AD1010">
        <w:rPr>
          <w:rFonts w:ascii="Arial" w:hAnsi="Arial" w:cs="Arial"/>
        </w:rPr>
        <w:t xml:space="preserve">cholarship </w:t>
      </w:r>
      <w:r w:rsidR="00FD047F" w:rsidRPr="00812BE7">
        <w:rPr>
          <w:rFonts w:ascii="Arial" w:hAnsi="Arial" w:cs="Arial"/>
        </w:rPr>
        <w:t>P</w:t>
      </w:r>
      <w:r w:rsidR="00AD1010">
        <w:rPr>
          <w:rFonts w:ascii="Arial" w:hAnsi="Arial" w:cs="Arial"/>
        </w:rPr>
        <w:t>rogramme</w:t>
      </w:r>
      <w:r w:rsidR="00FD047F" w:rsidRPr="00812BE7">
        <w:rPr>
          <w:rFonts w:ascii="Arial" w:hAnsi="Arial" w:cs="Arial"/>
        </w:rPr>
        <w:t xml:space="preserve">, the new arrangements will cost significantly more to administer and the more complex the scheme, the more the cost of administration.  There are also issues in relation to the HEBS system (student finance system) which means that data on residual household income (on which bursary levels are based) is often not available until a few weeks/months after the student has started and therefore confirmation of entitlement to support </w:t>
      </w:r>
      <w:r w:rsidR="00AD1010">
        <w:rPr>
          <w:rFonts w:ascii="Arial" w:hAnsi="Arial" w:cs="Arial"/>
        </w:rPr>
        <w:t>cannot be</w:t>
      </w:r>
      <w:r w:rsidR="00FD047F" w:rsidRPr="00812BE7">
        <w:rPr>
          <w:rFonts w:ascii="Arial" w:hAnsi="Arial" w:cs="Arial"/>
        </w:rPr>
        <w:t xml:space="preserve"> </w:t>
      </w:r>
      <w:r w:rsidR="00AD1010">
        <w:rPr>
          <w:rFonts w:ascii="Arial" w:hAnsi="Arial" w:cs="Arial"/>
        </w:rPr>
        <w:t xml:space="preserve">used </w:t>
      </w:r>
      <w:r w:rsidR="00FD047F" w:rsidRPr="00812BE7">
        <w:rPr>
          <w:rFonts w:ascii="Arial" w:hAnsi="Arial" w:cs="Arial"/>
        </w:rPr>
        <w:t>easil</w:t>
      </w:r>
      <w:r w:rsidR="00AD1010">
        <w:rPr>
          <w:rFonts w:ascii="Arial" w:hAnsi="Arial" w:cs="Arial"/>
        </w:rPr>
        <w:t>y</w:t>
      </w:r>
      <w:r w:rsidR="00FD047F" w:rsidRPr="00812BE7">
        <w:rPr>
          <w:rFonts w:ascii="Arial" w:hAnsi="Arial" w:cs="Arial"/>
        </w:rPr>
        <w:t xml:space="preserve"> as a marketing/conversion tool.</w:t>
      </w:r>
    </w:p>
    <w:p w:rsidR="00FD047F" w:rsidRDefault="00FD047F" w:rsidP="00FD047F">
      <w:pPr>
        <w:spacing w:after="0"/>
        <w:jc w:val="both"/>
        <w:rPr>
          <w:rFonts w:ascii="Arial" w:hAnsi="Arial" w:cs="Arial"/>
        </w:rPr>
      </w:pPr>
    </w:p>
    <w:p w:rsidR="00FD047F" w:rsidRDefault="00FD047F" w:rsidP="00FD047F">
      <w:pPr>
        <w:spacing w:after="0"/>
        <w:jc w:val="both"/>
        <w:rPr>
          <w:rFonts w:ascii="Arial" w:hAnsi="Arial" w:cs="Arial"/>
          <w:b/>
        </w:rPr>
      </w:pPr>
      <w:r>
        <w:rPr>
          <w:rFonts w:ascii="Arial" w:hAnsi="Arial" w:cs="Arial"/>
          <w:b/>
        </w:rPr>
        <w:t>5</w:t>
      </w:r>
      <w:r w:rsidRPr="00812BE7">
        <w:rPr>
          <w:rFonts w:ascii="Arial" w:hAnsi="Arial" w:cs="Arial"/>
          <w:b/>
        </w:rPr>
        <w:t>.</w:t>
      </w:r>
      <w:r w:rsidRPr="00812BE7">
        <w:rPr>
          <w:rFonts w:ascii="Arial" w:hAnsi="Arial" w:cs="Arial"/>
          <w:b/>
        </w:rPr>
        <w:tab/>
        <w:t>Retention and Access to the Professions</w:t>
      </w:r>
    </w:p>
    <w:p w:rsidR="00D73A09" w:rsidRPr="00812BE7" w:rsidRDefault="00D73A09" w:rsidP="00FD047F">
      <w:pPr>
        <w:spacing w:after="0"/>
        <w:jc w:val="both"/>
        <w:rPr>
          <w:rFonts w:ascii="Arial" w:hAnsi="Arial" w:cs="Arial"/>
          <w:b/>
        </w:rPr>
      </w:pPr>
    </w:p>
    <w:p w:rsidR="00FD047F" w:rsidRPr="00812BE7" w:rsidRDefault="00FD047F" w:rsidP="00D73A09">
      <w:pPr>
        <w:spacing w:after="0"/>
        <w:ind w:left="720"/>
        <w:rPr>
          <w:rFonts w:ascii="Arial" w:hAnsi="Arial" w:cs="Arial"/>
        </w:rPr>
      </w:pPr>
      <w:r w:rsidRPr="00812BE7">
        <w:rPr>
          <w:rFonts w:ascii="Arial" w:hAnsi="Arial" w:cs="Arial"/>
        </w:rPr>
        <w:t xml:space="preserve">The wording of the BIS advice to OFFA gives us some scope to set new spending on retention and employability initiatives against our spending commitment in the Access Agreement, particularly if we can show </w:t>
      </w:r>
      <w:r w:rsidR="00AD1010">
        <w:rPr>
          <w:rFonts w:ascii="Arial" w:hAnsi="Arial" w:cs="Arial"/>
        </w:rPr>
        <w:t xml:space="preserve">that </w:t>
      </w:r>
      <w:r w:rsidRPr="00812BE7">
        <w:rPr>
          <w:rFonts w:ascii="Arial" w:hAnsi="Arial" w:cs="Arial"/>
        </w:rPr>
        <w:t>these will benefit students from less advantaged backgrounds</w:t>
      </w:r>
      <w:r w:rsidR="00387473">
        <w:rPr>
          <w:rFonts w:ascii="Arial" w:hAnsi="Arial" w:cs="Arial"/>
        </w:rPr>
        <w:t xml:space="preserve"> to access professional careers</w:t>
      </w:r>
      <w:r w:rsidRPr="00812BE7">
        <w:rPr>
          <w:rFonts w:ascii="Arial" w:hAnsi="Arial" w:cs="Arial"/>
        </w:rPr>
        <w:t>.  Student Services are beginning to develop proposals in the following areas:</w:t>
      </w:r>
      <w:r w:rsidRPr="00812BE7">
        <w:rPr>
          <w:rFonts w:ascii="Arial" w:hAnsi="Arial" w:cs="Arial"/>
        </w:rPr>
        <w:br/>
      </w:r>
      <w:r w:rsidR="00D73A09">
        <w:rPr>
          <w:rFonts w:ascii="Arial" w:hAnsi="Arial" w:cs="Arial"/>
        </w:rPr>
        <w:t xml:space="preserve">- </w:t>
      </w:r>
      <w:r w:rsidRPr="00812BE7">
        <w:rPr>
          <w:rFonts w:ascii="Arial" w:hAnsi="Arial" w:cs="Arial"/>
        </w:rPr>
        <w:t>Literacy support – known demand from departments and students</w:t>
      </w:r>
    </w:p>
    <w:p w:rsidR="00FD047F" w:rsidRPr="00D73A09" w:rsidRDefault="00D73A09" w:rsidP="00D73A09">
      <w:pPr>
        <w:spacing w:after="0"/>
        <w:ind w:firstLine="720"/>
        <w:jc w:val="both"/>
        <w:rPr>
          <w:rFonts w:ascii="Arial" w:hAnsi="Arial" w:cs="Arial"/>
        </w:rPr>
      </w:pPr>
      <w:r>
        <w:rPr>
          <w:rFonts w:ascii="Arial" w:hAnsi="Arial" w:cs="Arial"/>
        </w:rPr>
        <w:t xml:space="preserve">- </w:t>
      </w:r>
      <w:r w:rsidR="00FD047F" w:rsidRPr="00D73A09">
        <w:rPr>
          <w:rFonts w:ascii="Arial" w:hAnsi="Arial" w:cs="Arial"/>
        </w:rPr>
        <w:t>Buddying and mentoring – building on previous and existing initiatives</w:t>
      </w:r>
    </w:p>
    <w:p w:rsidR="00FD047F" w:rsidRDefault="00D73A09" w:rsidP="00387473">
      <w:pPr>
        <w:spacing w:after="0"/>
        <w:ind w:left="709" w:firstLine="11"/>
        <w:jc w:val="both"/>
        <w:rPr>
          <w:rFonts w:ascii="Arial" w:hAnsi="Arial" w:cs="Arial"/>
        </w:rPr>
      </w:pPr>
      <w:r>
        <w:rPr>
          <w:rFonts w:ascii="Arial" w:hAnsi="Arial" w:cs="Arial"/>
        </w:rPr>
        <w:t xml:space="preserve">- </w:t>
      </w:r>
      <w:r w:rsidR="00FD047F" w:rsidRPr="00D73A09">
        <w:rPr>
          <w:rFonts w:ascii="Arial" w:hAnsi="Arial" w:cs="Arial"/>
        </w:rPr>
        <w:t>Central support for placements/work experience</w:t>
      </w:r>
      <w:r w:rsidR="00387473">
        <w:rPr>
          <w:rFonts w:ascii="Arial" w:hAnsi="Arial" w:cs="Arial"/>
        </w:rPr>
        <w:t>, possible bursaries for those taking low paid placements</w:t>
      </w:r>
    </w:p>
    <w:p w:rsidR="00850EC9" w:rsidRDefault="00850EC9" w:rsidP="00D73A09">
      <w:pPr>
        <w:spacing w:after="0"/>
        <w:ind w:firstLine="720"/>
        <w:jc w:val="both"/>
        <w:rPr>
          <w:rFonts w:ascii="Arial" w:hAnsi="Arial" w:cs="Arial"/>
        </w:rPr>
      </w:pPr>
    </w:p>
    <w:p w:rsidR="00850EC9" w:rsidRPr="00D73A09" w:rsidRDefault="00850EC9" w:rsidP="00D73A09">
      <w:pPr>
        <w:spacing w:after="0"/>
        <w:ind w:firstLine="720"/>
        <w:jc w:val="both"/>
        <w:rPr>
          <w:rFonts w:ascii="Arial" w:hAnsi="Arial" w:cs="Arial"/>
        </w:rPr>
      </w:pPr>
      <w:r>
        <w:rPr>
          <w:rFonts w:ascii="Arial" w:hAnsi="Arial" w:cs="Arial"/>
        </w:rPr>
        <w:t>We will also be looking at mathematics support for students via the Maths Education Centre.</w:t>
      </w:r>
    </w:p>
    <w:p w:rsidR="00D73A09" w:rsidRDefault="00FD047F" w:rsidP="00DA0FE0">
      <w:pPr>
        <w:spacing w:after="0"/>
        <w:jc w:val="both"/>
        <w:rPr>
          <w:rFonts w:ascii="Arial" w:hAnsi="Arial" w:cs="Arial"/>
          <w:b/>
        </w:rPr>
      </w:pPr>
      <w:r>
        <w:rPr>
          <w:rFonts w:ascii="Arial" w:hAnsi="Arial" w:cs="Arial"/>
          <w:b/>
        </w:rPr>
        <w:lastRenderedPageBreak/>
        <w:t>6</w:t>
      </w:r>
      <w:r w:rsidR="00387473">
        <w:rPr>
          <w:rFonts w:ascii="Arial" w:hAnsi="Arial" w:cs="Arial"/>
          <w:b/>
        </w:rPr>
        <w:t>.</w:t>
      </w:r>
      <w:r w:rsidR="00DA0FE0" w:rsidRPr="00BA1A93">
        <w:rPr>
          <w:rFonts w:ascii="Arial" w:hAnsi="Arial" w:cs="Arial"/>
          <w:b/>
        </w:rPr>
        <w:tab/>
        <w:t>Timetable and key decision making points</w:t>
      </w:r>
    </w:p>
    <w:p w:rsidR="00D73A09" w:rsidRDefault="00D73A09" w:rsidP="00DA0FE0">
      <w:pPr>
        <w:spacing w:after="0"/>
        <w:jc w:val="both"/>
        <w:rPr>
          <w:rFonts w:ascii="Arial" w:hAnsi="Arial"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2427"/>
        <w:gridCol w:w="4593"/>
      </w:tblGrid>
      <w:tr w:rsidR="00FD047F" w:rsidRPr="00FD047F" w:rsidTr="00FD047F">
        <w:tc>
          <w:tcPr>
            <w:tcW w:w="2430"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 xml:space="preserve">28 February </w:t>
            </w:r>
          </w:p>
        </w:tc>
        <w:tc>
          <w:tcPr>
            <w:tcW w:w="2427" w:type="dxa"/>
            <w:tcBorders>
              <w:top w:val="single" w:sz="4" w:space="0" w:color="auto"/>
              <w:left w:val="single" w:sz="4" w:space="0" w:color="auto"/>
              <w:bottom w:val="single" w:sz="4" w:space="0" w:color="auto"/>
              <w:right w:val="single" w:sz="4" w:space="0" w:color="auto"/>
            </w:tcBorders>
          </w:tcPr>
          <w:p w:rsidR="00FD047F" w:rsidRPr="00FD047F" w:rsidRDefault="00FD047F" w:rsidP="00D73A09">
            <w:pPr>
              <w:rPr>
                <w:rFonts w:ascii="Arial" w:eastAsia="Calibri" w:hAnsi="Arial" w:cs="Arial"/>
              </w:rPr>
            </w:pPr>
            <w:r w:rsidRPr="00FD047F">
              <w:rPr>
                <w:rFonts w:ascii="Arial" w:eastAsia="Calibri" w:hAnsi="Arial" w:cs="Arial"/>
              </w:rPr>
              <w:t>Core group and additional members</w:t>
            </w:r>
          </w:p>
        </w:tc>
        <w:tc>
          <w:tcPr>
            <w:tcW w:w="4593" w:type="dxa"/>
            <w:tcBorders>
              <w:top w:val="single" w:sz="4" w:space="0" w:color="auto"/>
              <w:left w:val="single" w:sz="4" w:space="0" w:color="auto"/>
              <w:bottom w:val="single" w:sz="4" w:space="0" w:color="auto"/>
              <w:right w:val="single" w:sz="4" w:space="0" w:color="auto"/>
            </w:tcBorders>
          </w:tcPr>
          <w:p w:rsidR="00FD047F" w:rsidRPr="00D73A09" w:rsidRDefault="00FD047F" w:rsidP="00D73A09">
            <w:pPr>
              <w:jc w:val="both"/>
              <w:rPr>
                <w:rFonts w:ascii="Arial" w:eastAsia="Calibri" w:hAnsi="Arial" w:cs="Arial"/>
              </w:rPr>
            </w:pPr>
            <w:r w:rsidRPr="00FD047F">
              <w:rPr>
                <w:rFonts w:ascii="Arial" w:eastAsia="Calibri" w:hAnsi="Arial" w:cs="Arial"/>
              </w:rPr>
              <w:t>Review of progress and issues</w:t>
            </w:r>
          </w:p>
        </w:tc>
      </w:tr>
      <w:tr w:rsidR="00D73A09" w:rsidRPr="00FD047F" w:rsidTr="00FD047F">
        <w:tc>
          <w:tcPr>
            <w:tcW w:w="2430" w:type="dxa"/>
            <w:tcBorders>
              <w:top w:val="single" w:sz="4" w:space="0" w:color="auto"/>
              <w:left w:val="single" w:sz="4" w:space="0" w:color="auto"/>
              <w:bottom w:val="single" w:sz="4" w:space="0" w:color="auto"/>
              <w:right w:val="single" w:sz="4" w:space="0" w:color="auto"/>
            </w:tcBorders>
          </w:tcPr>
          <w:p w:rsidR="00D73A09" w:rsidRPr="00FD047F" w:rsidRDefault="00D73A09" w:rsidP="00FD047F">
            <w:pPr>
              <w:jc w:val="both"/>
              <w:rPr>
                <w:rFonts w:ascii="Arial" w:eastAsia="Calibri" w:hAnsi="Arial" w:cs="Arial"/>
              </w:rPr>
            </w:pPr>
            <w:r>
              <w:rPr>
                <w:rFonts w:ascii="Arial" w:eastAsia="Calibri" w:hAnsi="Arial" w:cs="Arial"/>
              </w:rPr>
              <w:t>Early March</w:t>
            </w:r>
          </w:p>
        </w:tc>
        <w:tc>
          <w:tcPr>
            <w:tcW w:w="2427" w:type="dxa"/>
            <w:tcBorders>
              <w:top w:val="single" w:sz="4" w:space="0" w:color="auto"/>
              <w:left w:val="single" w:sz="4" w:space="0" w:color="auto"/>
              <w:bottom w:val="single" w:sz="4" w:space="0" w:color="auto"/>
              <w:right w:val="single" w:sz="4" w:space="0" w:color="auto"/>
            </w:tcBorders>
          </w:tcPr>
          <w:p w:rsidR="00D73A09" w:rsidRPr="00FD047F" w:rsidRDefault="00D73A09" w:rsidP="00D73A09">
            <w:pPr>
              <w:rPr>
                <w:rFonts w:ascii="Arial" w:eastAsia="Calibri" w:hAnsi="Arial" w:cs="Arial"/>
              </w:rPr>
            </w:pPr>
            <w:r>
              <w:rPr>
                <w:rFonts w:ascii="Arial" w:eastAsia="Calibri" w:hAnsi="Arial" w:cs="Arial"/>
              </w:rPr>
              <w:t>OFFA guidance expected</w:t>
            </w:r>
          </w:p>
        </w:tc>
        <w:tc>
          <w:tcPr>
            <w:tcW w:w="4593" w:type="dxa"/>
            <w:tcBorders>
              <w:top w:val="single" w:sz="4" w:space="0" w:color="auto"/>
              <w:left w:val="single" w:sz="4" w:space="0" w:color="auto"/>
              <w:bottom w:val="single" w:sz="4" w:space="0" w:color="auto"/>
              <w:right w:val="single" w:sz="4" w:space="0" w:color="auto"/>
            </w:tcBorders>
          </w:tcPr>
          <w:p w:rsidR="00D73A09" w:rsidRPr="00FD047F" w:rsidRDefault="00D73A09" w:rsidP="00FD047F">
            <w:pPr>
              <w:jc w:val="both"/>
              <w:rPr>
                <w:rFonts w:ascii="Arial" w:eastAsia="Calibri" w:hAnsi="Arial" w:cs="Arial"/>
              </w:rPr>
            </w:pPr>
          </w:p>
        </w:tc>
      </w:tr>
      <w:tr w:rsidR="00FD047F" w:rsidRPr="00FD047F" w:rsidTr="00FD047F">
        <w:tc>
          <w:tcPr>
            <w:tcW w:w="2430"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7 March</w:t>
            </w:r>
          </w:p>
        </w:tc>
        <w:tc>
          <w:tcPr>
            <w:tcW w:w="2427"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ELT</w:t>
            </w:r>
          </w:p>
        </w:tc>
        <w:tc>
          <w:tcPr>
            <w:tcW w:w="4593"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 xml:space="preserve">Major discussion of key issues </w:t>
            </w:r>
          </w:p>
        </w:tc>
      </w:tr>
      <w:tr w:rsidR="00FD047F" w:rsidRPr="00FD047F" w:rsidTr="00FD047F">
        <w:tc>
          <w:tcPr>
            <w:tcW w:w="2430"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8 March</w:t>
            </w:r>
          </w:p>
        </w:tc>
        <w:tc>
          <w:tcPr>
            <w:tcW w:w="2427"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Finance Committee</w:t>
            </w:r>
          </w:p>
        </w:tc>
        <w:tc>
          <w:tcPr>
            <w:tcW w:w="4593"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Approval of principles of financial aspects of Access Agreement</w:t>
            </w:r>
          </w:p>
        </w:tc>
      </w:tr>
      <w:tr w:rsidR="00FD047F" w:rsidRPr="00FD047F" w:rsidTr="00FD047F">
        <w:tc>
          <w:tcPr>
            <w:tcW w:w="2430"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9 March</w:t>
            </w:r>
          </w:p>
        </w:tc>
        <w:tc>
          <w:tcPr>
            <w:tcW w:w="2427"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Senate</w:t>
            </w:r>
          </w:p>
        </w:tc>
        <w:tc>
          <w:tcPr>
            <w:tcW w:w="4593"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Update on progress</w:t>
            </w:r>
          </w:p>
        </w:tc>
      </w:tr>
      <w:tr w:rsidR="00FD047F" w:rsidRPr="00FD047F" w:rsidTr="00FD047F">
        <w:tc>
          <w:tcPr>
            <w:tcW w:w="2430"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14 March</w:t>
            </w:r>
          </w:p>
        </w:tc>
        <w:tc>
          <w:tcPr>
            <w:tcW w:w="2427"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ALT</w:t>
            </w:r>
          </w:p>
        </w:tc>
        <w:tc>
          <w:tcPr>
            <w:tcW w:w="4593"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Update on progress</w:t>
            </w:r>
          </w:p>
        </w:tc>
      </w:tr>
      <w:tr w:rsidR="00FD047F" w:rsidRPr="00FD047F" w:rsidTr="00FD047F">
        <w:tc>
          <w:tcPr>
            <w:tcW w:w="2430"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15 March</w:t>
            </w:r>
          </w:p>
        </w:tc>
        <w:tc>
          <w:tcPr>
            <w:tcW w:w="2427"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p>
        </w:tc>
        <w:tc>
          <w:tcPr>
            <w:tcW w:w="4593"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 xml:space="preserve">Grant letter </w:t>
            </w:r>
            <w:r w:rsidR="00387473">
              <w:rPr>
                <w:rFonts w:ascii="Arial" w:eastAsia="Calibri" w:hAnsi="Arial" w:cs="Arial"/>
              </w:rPr>
              <w:t xml:space="preserve">for 2011/12 </w:t>
            </w:r>
            <w:r w:rsidRPr="00FD047F">
              <w:rPr>
                <w:rFonts w:ascii="Arial" w:eastAsia="Calibri" w:hAnsi="Arial" w:cs="Arial"/>
              </w:rPr>
              <w:t>received – embargoed until 17 March</w:t>
            </w:r>
          </w:p>
        </w:tc>
      </w:tr>
      <w:tr w:rsidR="00FD047F" w:rsidRPr="00FD047F" w:rsidTr="00FD047F">
        <w:tc>
          <w:tcPr>
            <w:tcW w:w="2430"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15 March</w:t>
            </w:r>
          </w:p>
        </w:tc>
        <w:tc>
          <w:tcPr>
            <w:tcW w:w="2427"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Core Group</w:t>
            </w:r>
          </w:p>
        </w:tc>
        <w:tc>
          <w:tcPr>
            <w:tcW w:w="4593"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Further work on details post key meetings in w/c 7 March – initial drafting of Access Agreement</w:t>
            </w:r>
          </w:p>
        </w:tc>
      </w:tr>
      <w:tr w:rsidR="00FD047F" w:rsidRPr="00FD047F" w:rsidTr="00D73A09">
        <w:trPr>
          <w:trHeight w:val="2519"/>
        </w:trPr>
        <w:tc>
          <w:tcPr>
            <w:tcW w:w="2430" w:type="dxa"/>
            <w:tcBorders>
              <w:top w:val="single" w:sz="4" w:space="0" w:color="auto"/>
              <w:left w:val="single" w:sz="4" w:space="0" w:color="auto"/>
              <w:bottom w:val="single" w:sz="4" w:space="0" w:color="auto"/>
              <w:right w:val="single" w:sz="4" w:space="0" w:color="auto"/>
            </w:tcBorders>
          </w:tcPr>
          <w:p w:rsidR="00FD047F" w:rsidRPr="00FD047F" w:rsidRDefault="00FD047F" w:rsidP="00D73A09">
            <w:pPr>
              <w:spacing w:after="0"/>
              <w:jc w:val="both"/>
              <w:rPr>
                <w:rFonts w:ascii="Arial" w:eastAsia="Calibri" w:hAnsi="Arial" w:cs="Arial"/>
              </w:rPr>
            </w:pPr>
            <w:r w:rsidRPr="00FD047F">
              <w:rPr>
                <w:rFonts w:ascii="Arial" w:eastAsia="Calibri" w:hAnsi="Arial" w:cs="Arial"/>
              </w:rPr>
              <w:t>21 March</w:t>
            </w:r>
          </w:p>
        </w:tc>
        <w:tc>
          <w:tcPr>
            <w:tcW w:w="2427" w:type="dxa"/>
            <w:tcBorders>
              <w:top w:val="single" w:sz="4" w:space="0" w:color="auto"/>
              <w:left w:val="single" w:sz="4" w:space="0" w:color="auto"/>
              <w:bottom w:val="single" w:sz="4" w:space="0" w:color="auto"/>
              <w:right w:val="single" w:sz="4" w:space="0" w:color="auto"/>
            </w:tcBorders>
          </w:tcPr>
          <w:p w:rsidR="00FD047F" w:rsidRPr="00FD047F" w:rsidRDefault="00FD047F" w:rsidP="00D73A09">
            <w:pPr>
              <w:spacing w:after="0"/>
              <w:jc w:val="both"/>
              <w:rPr>
                <w:rFonts w:ascii="Arial" w:eastAsia="Calibri" w:hAnsi="Arial" w:cs="Arial"/>
              </w:rPr>
            </w:pPr>
            <w:r w:rsidRPr="00FD047F">
              <w:rPr>
                <w:rFonts w:ascii="Arial" w:eastAsia="Calibri" w:hAnsi="Arial" w:cs="Arial"/>
              </w:rPr>
              <w:t>ELT</w:t>
            </w:r>
          </w:p>
          <w:p w:rsidR="00D73A09" w:rsidRDefault="00D73A09" w:rsidP="00D73A09">
            <w:pPr>
              <w:spacing w:after="0"/>
              <w:jc w:val="both"/>
              <w:rPr>
                <w:rFonts w:ascii="Arial" w:eastAsia="Calibri" w:hAnsi="Arial" w:cs="Arial"/>
              </w:rPr>
            </w:pPr>
          </w:p>
          <w:p w:rsidR="00D73A09" w:rsidRDefault="00D73A09" w:rsidP="00D73A09">
            <w:pPr>
              <w:spacing w:after="0"/>
              <w:jc w:val="both"/>
              <w:rPr>
                <w:rFonts w:ascii="Arial" w:eastAsia="Calibri" w:hAnsi="Arial" w:cs="Arial"/>
              </w:rPr>
            </w:pPr>
          </w:p>
          <w:p w:rsidR="00FD047F" w:rsidRPr="00FD047F" w:rsidRDefault="00FD047F" w:rsidP="00D73A09">
            <w:pPr>
              <w:spacing w:after="0"/>
              <w:jc w:val="both"/>
              <w:rPr>
                <w:rFonts w:ascii="Arial" w:eastAsia="Calibri" w:hAnsi="Arial" w:cs="Arial"/>
              </w:rPr>
            </w:pPr>
            <w:r w:rsidRPr="00FD047F">
              <w:rPr>
                <w:rFonts w:ascii="Arial" w:eastAsia="Calibri" w:hAnsi="Arial" w:cs="Arial"/>
              </w:rPr>
              <w:t>Operations Committee</w:t>
            </w:r>
          </w:p>
          <w:p w:rsidR="00FD047F" w:rsidRPr="00FD047F" w:rsidRDefault="00FD047F" w:rsidP="00D73A09">
            <w:pPr>
              <w:spacing w:after="0"/>
              <w:jc w:val="both"/>
              <w:rPr>
                <w:rFonts w:ascii="Arial" w:eastAsia="Calibri" w:hAnsi="Arial" w:cs="Arial"/>
              </w:rPr>
            </w:pPr>
          </w:p>
          <w:p w:rsidR="00FD047F" w:rsidRPr="00FD047F" w:rsidRDefault="00FD047F" w:rsidP="00D73A09">
            <w:pPr>
              <w:spacing w:after="0"/>
              <w:jc w:val="both"/>
              <w:rPr>
                <w:rFonts w:ascii="Arial" w:eastAsia="Calibri" w:hAnsi="Arial" w:cs="Arial"/>
              </w:rPr>
            </w:pPr>
          </w:p>
          <w:p w:rsidR="00FD047F" w:rsidRPr="00FD047F" w:rsidRDefault="00FD047F" w:rsidP="00D73A09">
            <w:pPr>
              <w:spacing w:after="0"/>
              <w:jc w:val="both"/>
              <w:rPr>
                <w:rFonts w:ascii="Arial" w:eastAsia="Calibri" w:hAnsi="Arial" w:cs="Arial"/>
              </w:rPr>
            </w:pPr>
            <w:r w:rsidRPr="00FD047F">
              <w:rPr>
                <w:rFonts w:ascii="Arial" w:eastAsia="Calibri" w:hAnsi="Arial" w:cs="Arial"/>
              </w:rPr>
              <w:t>Chairman’s Advisory Group (CAG)</w:t>
            </w:r>
          </w:p>
        </w:tc>
        <w:tc>
          <w:tcPr>
            <w:tcW w:w="4593" w:type="dxa"/>
            <w:tcBorders>
              <w:top w:val="single" w:sz="4" w:space="0" w:color="auto"/>
              <w:left w:val="single" w:sz="4" w:space="0" w:color="auto"/>
              <w:bottom w:val="single" w:sz="4" w:space="0" w:color="auto"/>
              <w:right w:val="single" w:sz="4" w:space="0" w:color="auto"/>
            </w:tcBorders>
          </w:tcPr>
          <w:p w:rsidR="00FD047F" w:rsidRDefault="00FD047F" w:rsidP="00D73A09">
            <w:pPr>
              <w:spacing w:after="0"/>
              <w:jc w:val="both"/>
              <w:rPr>
                <w:rFonts w:ascii="Arial" w:eastAsia="Calibri" w:hAnsi="Arial" w:cs="Arial"/>
              </w:rPr>
            </w:pPr>
            <w:r w:rsidRPr="00FD047F">
              <w:rPr>
                <w:rFonts w:ascii="Arial" w:eastAsia="Calibri" w:hAnsi="Arial" w:cs="Arial"/>
              </w:rPr>
              <w:t>Discussion of any outstanding issues of principle?</w:t>
            </w:r>
          </w:p>
          <w:p w:rsidR="00D73A09" w:rsidRPr="00FD047F" w:rsidRDefault="00D73A09" w:rsidP="00D73A09">
            <w:pPr>
              <w:spacing w:after="0"/>
              <w:jc w:val="both"/>
              <w:rPr>
                <w:rFonts w:ascii="Arial" w:eastAsia="Calibri" w:hAnsi="Arial" w:cs="Arial"/>
              </w:rPr>
            </w:pPr>
          </w:p>
          <w:p w:rsidR="00FD047F" w:rsidRPr="00FD047F" w:rsidRDefault="00FD047F" w:rsidP="00D73A09">
            <w:pPr>
              <w:spacing w:after="0"/>
              <w:jc w:val="both"/>
              <w:rPr>
                <w:rFonts w:ascii="Arial" w:eastAsia="Calibri" w:hAnsi="Arial" w:cs="Arial"/>
              </w:rPr>
            </w:pPr>
            <w:r w:rsidRPr="00FD047F">
              <w:rPr>
                <w:rFonts w:ascii="Arial" w:eastAsia="Calibri" w:hAnsi="Arial" w:cs="Arial"/>
              </w:rPr>
              <w:t>Agreement of final key issues/principles and draft of Access agreement considered</w:t>
            </w:r>
          </w:p>
          <w:p w:rsidR="00FD047F" w:rsidRPr="00FD047F" w:rsidRDefault="00FD047F" w:rsidP="00D73A09">
            <w:pPr>
              <w:spacing w:after="0"/>
              <w:jc w:val="both"/>
              <w:rPr>
                <w:rFonts w:ascii="Arial" w:eastAsia="Calibri" w:hAnsi="Arial" w:cs="Arial"/>
              </w:rPr>
            </w:pPr>
          </w:p>
          <w:p w:rsidR="00FD047F" w:rsidRPr="00FD047F" w:rsidRDefault="00FD047F" w:rsidP="00D73A09">
            <w:pPr>
              <w:spacing w:after="0"/>
              <w:jc w:val="both"/>
              <w:rPr>
                <w:rFonts w:ascii="Arial" w:eastAsia="Calibri" w:hAnsi="Arial" w:cs="Arial"/>
              </w:rPr>
            </w:pPr>
            <w:r w:rsidRPr="00FD047F">
              <w:rPr>
                <w:rFonts w:ascii="Arial" w:eastAsia="Calibri" w:hAnsi="Arial" w:cs="Arial"/>
              </w:rPr>
              <w:t>Update on progress</w:t>
            </w:r>
          </w:p>
        </w:tc>
      </w:tr>
      <w:tr w:rsidR="00FD047F" w:rsidRPr="00FD047F" w:rsidTr="00FD047F">
        <w:tc>
          <w:tcPr>
            <w:tcW w:w="2430" w:type="dxa"/>
            <w:tcBorders>
              <w:top w:val="single" w:sz="4" w:space="0" w:color="auto"/>
              <w:left w:val="single" w:sz="4" w:space="0" w:color="auto"/>
              <w:bottom w:val="single" w:sz="4" w:space="0" w:color="auto"/>
              <w:right w:val="single" w:sz="4" w:space="0" w:color="auto"/>
            </w:tcBorders>
          </w:tcPr>
          <w:p w:rsidR="00FD047F" w:rsidRPr="00FD047F" w:rsidRDefault="00FD047F" w:rsidP="00D73A09">
            <w:pPr>
              <w:spacing w:after="0"/>
              <w:jc w:val="both"/>
              <w:rPr>
                <w:rFonts w:ascii="Arial" w:eastAsia="Calibri" w:hAnsi="Arial" w:cs="Arial"/>
              </w:rPr>
            </w:pPr>
            <w:r w:rsidRPr="00FD047F">
              <w:rPr>
                <w:rFonts w:ascii="Arial" w:eastAsia="Calibri" w:hAnsi="Arial" w:cs="Arial"/>
              </w:rPr>
              <w:t>25 March</w:t>
            </w:r>
          </w:p>
        </w:tc>
        <w:tc>
          <w:tcPr>
            <w:tcW w:w="2427"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Core Group</w:t>
            </w:r>
          </w:p>
        </w:tc>
        <w:tc>
          <w:tcPr>
            <w:tcW w:w="4593"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Refinement of details and wording</w:t>
            </w:r>
          </w:p>
        </w:tc>
      </w:tr>
      <w:tr w:rsidR="00FD047F" w:rsidRPr="00FD047F" w:rsidTr="00FD047F">
        <w:tc>
          <w:tcPr>
            <w:tcW w:w="2430"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31 March</w:t>
            </w:r>
          </w:p>
        </w:tc>
        <w:tc>
          <w:tcPr>
            <w:tcW w:w="2427"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CAG</w:t>
            </w:r>
          </w:p>
        </w:tc>
        <w:tc>
          <w:tcPr>
            <w:tcW w:w="4593"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Further opportunity for discussion</w:t>
            </w:r>
          </w:p>
        </w:tc>
      </w:tr>
      <w:tr w:rsidR="00FD047F" w:rsidRPr="00FD047F" w:rsidTr="00FD047F">
        <w:tc>
          <w:tcPr>
            <w:tcW w:w="2430"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1 April</w:t>
            </w:r>
          </w:p>
        </w:tc>
        <w:tc>
          <w:tcPr>
            <w:tcW w:w="2427"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Council</w:t>
            </w:r>
          </w:p>
        </w:tc>
        <w:tc>
          <w:tcPr>
            <w:tcW w:w="4593"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Final sign off of key financial and strategic principles</w:t>
            </w:r>
          </w:p>
        </w:tc>
      </w:tr>
      <w:tr w:rsidR="00FD047F" w:rsidRPr="00FD047F" w:rsidTr="00FD047F">
        <w:tc>
          <w:tcPr>
            <w:tcW w:w="2430"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TBC in April</w:t>
            </w:r>
          </w:p>
        </w:tc>
        <w:tc>
          <w:tcPr>
            <w:tcW w:w="2427"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Core Group</w:t>
            </w:r>
          </w:p>
        </w:tc>
        <w:tc>
          <w:tcPr>
            <w:tcW w:w="4593"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Final sign off of the draft Access Agreement</w:t>
            </w:r>
          </w:p>
        </w:tc>
      </w:tr>
      <w:tr w:rsidR="00FD047F" w:rsidRPr="00FD047F" w:rsidTr="00FD047F">
        <w:tc>
          <w:tcPr>
            <w:tcW w:w="2430"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11 April?</w:t>
            </w:r>
          </w:p>
        </w:tc>
        <w:tc>
          <w:tcPr>
            <w:tcW w:w="2427"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p>
        </w:tc>
        <w:tc>
          <w:tcPr>
            <w:tcW w:w="4593" w:type="dxa"/>
            <w:tcBorders>
              <w:top w:val="single" w:sz="4" w:space="0" w:color="auto"/>
              <w:left w:val="single" w:sz="4" w:space="0" w:color="auto"/>
              <w:bottom w:val="single" w:sz="4" w:space="0" w:color="auto"/>
              <w:right w:val="single" w:sz="4" w:space="0" w:color="auto"/>
            </w:tcBorders>
          </w:tcPr>
          <w:p w:rsidR="00FD047F" w:rsidRPr="00FD047F" w:rsidRDefault="00FD047F" w:rsidP="00FD047F">
            <w:pPr>
              <w:jc w:val="both"/>
              <w:rPr>
                <w:rFonts w:ascii="Arial" w:eastAsia="Calibri" w:hAnsi="Arial" w:cs="Arial"/>
              </w:rPr>
            </w:pPr>
            <w:r w:rsidRPr="00FD047F">
              <w:rPr>
                <w:rFonts w:ascii="Arial" w:eastAsia="Calibri" w:hAnsi="Arial" w:cs="Arial"/>
              </w:rPr>
              <w:t>Submission to OFFA</w:t>
            </w:r>
          </w:p>
        </w:tc>
      </w:tr>
    </w:tbl>
    <w:p w:rsidR="003B4E88" w:rsidRPr="000D7BFD" w:rsidRDefault="003B4E88" w:rsidP="00DA0FE0">
      <w:pPr>
        <w:spacing w:after="0"/>
        <w:jc w:val="both"/>
        <w:rPr>
          <w:rFonts w:ascii="Times New Roman" w:eastAsia="Times New Roman" w:hAnsi="Times New Roman" w:cs="Times New Roman"/>
          <w:bCs/>
          <w:color w:val="7B5622"/>
          <w:sz w:val="24"/>
          <w:szCs w:val="24"/>
          <w:lang w:eastAsia="en-GB"/>
        </w:rPr>
      </w:pPr>
    </w:p>
    <w:sectPr w:rsidR="003B4E88" w:rsidRPr="000D7BFD" w:rsidSect="00F20DA1">
      <w:headerReference w:type="first" r:id="rId10"/>
      <w:pgSz w:w="11906" w:h="16838"/>
      <w:pgMar w:top="864" w:right="864" w:bottom="864" w:left="864"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DA1" w:rsidRDefault="00F20DA1" w:rsidP="00F20DA1">
      <w:pPr>
        <w:spacing w:after="0" w:line="240" w:lineRule="auto"/>
      </w:pPr>
      <w:r>
        <w:separator/>
      </w:r>
    </w:p>
  </w:endnote>
  <w:endnote w:type="continuationSeparator" w:id="0">
    <w:p w:rsidR="00F20DA1" w:rsidRDefault="00F20DA1" w:rsidP="00F20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DA1" w:rsidRDefault="00F20DA1" w:rsidP="00F20DA1">
      <w:pPr>
        <w:spacing w:after="0" w:line="240" w:lineRule="auto"/>
      </w:pPr>
      <w:r>
        <w:separator/>
      </w:r>
    </w:p>
  </w:footnote>
  <w:footnote w:type="continuationSeparator" w:id="0">
    <w:p w:rsidR="00F20DA1" w:rsidRDefault="00F20DA1" w:rsidP="00F20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A1" w:rsidRPr="00F20DA1" w:rsidRDefault="00F20DA1" w:rsidP="00F20DA1">
    <w:pPr>
      <w:pStyle w:val="Header"/>
      <w:jc w:val="right"/>
      <w:rPr>
        <w:rFonts w:ascii="Arial" w:hAnsi="Arial" w:cs="Arial"/>
      </w:rPr>
    </w:pPr>
    <w:r w:rsidRPr="00F20DA1">
      <w:rPr>
        <w:rFonts w:ascii="Arial" w:hAnsi="Arial" w:cs="Arial"/>
      </w:rPr>
      <w:t>SEN11-P</w:t>
    </w:r>
    <w:r w:rsidR="0092419E">
      <w:rPr>
        <w:rFonts w:ascii="Arial" w:hAnsi="Arial" w:cs="Arial"/>
      </w:rPr>
      <w:t>19</w:t>
    </w:r>
  </w:p>
  <w:p w:rsidR="00F20DA1" w:rsidRPr="00F20DA1" w:rsidRDefault="00F20DA1" w:rsidP="00F20DA1">
    <w:pPr>
      <w:pStyle w:val="Header"/>
      <w:jc w:val="right"/>
      <w:rPr>
        <w:rFonts w:ascii="Arial" w:hAnsi="Arial" w:cs="Arial"/>
      </w:rPr>
    </w:pPr>
    <w:r w:rsidRPr="00F20DA1">
      <w:rPr>
        <w:rFonts w:ascii="Arial" w:hAnsi="Arial" w:cs="Arial"/>
      </w:rPr>
      <w:t>9 March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43F0"/>
    <w:multiLevelType w:val="hybridMultilevel"/>
    <w:tmpl w:val="1688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D75024"/>
    <w:multiLevelType w:val="hybridMultilevel"/>
    <w:tmpl w:val="7EE4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DE548C"/>
    <w:multiLevelType w:val="hybridMultilevel"/>
    <w:tmpl w:val="9CEC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053689"/>
    <w:multiLevelType w:val="hybridMultilevel"/>
    <w:tmpl w:val="AE3E1B4E"/>
    <w:lvl w:ilvl="0" w:tplc="1D849DAE">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FE914CB"/>
    <w:multiLevelType w:val="hybridMultilevel"/>
    <w:tmpl w:val="E464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FD548F"/>
    <w:multiLevelType w:val="hybridMultilevel"/>
    <w:tmpl w:val="6F28DA54"/>
    <w:lvl w:ilvl="0" w:tplc="1D849DA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BD5160"/>
    <w:multiLevelType w:val="hybridMultilevel"/>
    <w:tmpl w:val="23D2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1A1F51"/>
    <w:multiLevelType w:val="hybridMultilevel"/>
    <w:tmpl w:val="25C2E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7"/>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7321"/>
    <w:rsid w:val="00025EC7"/>
    <w:rsid w:val="000305B5"/>
    <w:rsid w:val="00031E7F"/>
    <w:rsid w:val="00037917"/>
    <w:rsid w:val="00061319"/>
    <w:rsid w:val="00074A8B"/>
    <w:rsid w:val="000A2534"/>
    <w:rsid w:val="000B1143"/>
    <w:rsid w:val="000C3370"/>
    <w:rsid w:val="000C7B92"/>
    <w:rsid w:val="000D7BFD"/>
    <w:rsid w:val="000D7ED2"/>
    <w:rsid w:val="000E059F"/>
    <w:rsid w:val="000F75C1"/>
    <w:rsid w:val="00102B8C"/>
    <w:rsid w:val="00102FF5"/>
    <w:rsid w:val="0011106D"/>
    <w:rsid w:val="001137F8"/>
    <w:rsid w:val="00121713"/>
    <w:rsid w:val="001226A3"/>
    <w:rsid w:val="001372C0"/>
    <w:rsid w:val="00151BDC"/>
    <w:rsid w:val="00152054"/>
    <w:rsid w:val="001727AB"/>
    <w:rsid w:val="001A4859"/>
    <w:rsid w:val="001C1363"/>
    <w:rsid w:val="001F432D"/>
    <w:rsid w:val="001F5D4A"/>
    <w:rsid w:val="00207EBB"/>
    <w:rsid w:val="00211503"/>
    <w:rsid w:val="00213EDA"/>
    <w:rsid w:val="00226F47"/>
    <w:rsid w:val="00237321"/>
    <w:rsid w:val="002407CA"/>
    <w:rsid w:val="00241BCC"/>
    <w:rsid w:val="0024283C"/>
    <w:rsid w:val="002521C8"/>
    <w:rsid w:val="00255AD4"/>
    <w:rsid w:val="002617D9"/>
    <w:rsid w:val="00263613"/>
    <w:rsid w:val="00263CE4"/>
    <w:rsid w:val="002730E5"/>
    <w:rsid w:val="00283111"/>
    <w:rsid w:val="002A6724"/>
    <w:rsid w:val="002D3CA7"/>
    <w:rsid w:val="00354B1F"/>
    <w:rsid w:val="00362986"/>
    <w:rsid w:val="00363DFE"/>
    <w:rsid w:val="00372F01"/>
    <w:rsid w:val="00375C19"/>
    <w:rsid w:val="00387473"/>
    <w:rsid w:val="003B4E88"/>
    <w:rsid w:val="003D1F07"/>
    <w:rsid w:val="00416E9D"/>
    <w:rsid w:val="004406B9"/>
    <w:rsid w:val="00444159"/>
    <w:rsid w:val="00447923"/>
    <w:rsid w:val="00456206"/>
    <w:rsid w:val="00463B9F"/>
    <w:rsid w:val="0048627B"/>
    <w:rsid w:val="004870ED"/>
    <w:rsid w:val="004B4E53"/>
    <w:rsid w:val="004B5AAC"/>
    <w:rsid w:val="004C663F"/>
    <w:rsid w:val="004D7687"/>
    <w:rsid w:val="004F0292"/>
    <w:rsid w:val="004F48C3"/>
    <w:rsid w:val="00553AA9"/>
    <w:rsid w:val="0058498F"/>
    <w:rsid w:val="005A411E"/>
    <w:rsid w:val="005C3624"/>
    <w:rsid w:val="005D4DCA"/>
    <w:rsid w:val="005E74F3"/>
    <w:rsid w:val="006002D0"/>
    <w:rsid w:val="00612CFF"/>
    <w:rsid w:val="006631EB"/>
    <w:rsid w:val="006875BE"/>
    <w:rsid w:val="006B2A40"/>
    <w:rsid w:val="006C2869"/>
    <w:rsid w:val="006C6E6F"/>
    <w:rsid w:val="006E0723"/>
    <w:rsid w:val="00705B2D"/>
    <w:rsid w:val="007070AD"/>
    <w:rsid w:val="007308ED"/>
    <w:rsid w:val="00730E5A"/>
    <w:rsid w:val="007435EA"/>
    <w:rsid w:val="00752A52"/>
    <w:rsid w:val="00781250"/>
    <w:rsid w:val="007A3B5A"/>
    <w:rsid w:val="007D3632"/>
    <w:rsid w:val="007E009D"/>
    <w:rsid w:val="00802A77"/>
    <w:rsid w:val="0081160F"/>
    <w:rsid w:val="00822FD2"/>
    <w:rsid w:val="0084065A"/>
    <w:rsid w:val="00841CB4"/>
    <w:rsid w:val="0084362B"/>
    <w:rsid w:val="0084756D"/>
    <w:rsid w:val="00850EC9"/>
    <w:rsid w:val="00852356"/>
    <w:rsid w:val="008579AE"/>
    <w:rsid w:val="008905A3"/>
    <w:rsid w:val="00894597"/>
    <w:rsid w:val="00897B26"/>
    <w:rsid w:val="008B01FE"/>
    <w:rsid w:val="008B51DD"/>
    <w:rsid w:val="008B74E1"/>
    <w:rsid w:val="008E1E5E"/>
    <w:rsid w:val="0092336B"/>
    <w:rsid w:val="0092419E"/>
    <w:rsid w:val="00925CD4"/>
    <w:rsid w:val="0096306F"/>
    <w:rsid w:val="00990514"/>
    <w:rsid w:val="00992F81"/>
    <w:rsid w:val="0099437C"/>
    <w:rsid w:val="009A38EE"/>
    <w:rsid w:val="009B138C"/>
    <w:rsid w:val="009E4A9A"/>
    <w:rsid w:val="009F5DFF"/>
    <w:rsid w:val="009F7930"/>
    <w:rsid w:val="00A0285D"/>
    <w:rsid w:val="00A23EB6"/>
    <w:rsid w:val="00A24392"/>
    <w:rsid w:val="00A2625C"/>
    <w:rsid w:val="00A8431E"/>
    <w:rsid w:val="00A9650A"/>
    <w:rsid w:val="00AD1010"/>
    <w:rsid w:val="00B27EFA"/>
    <w:rsid w:val="00B50E97"/>
    <w:rsid w:val="00B55F25"/>
    <w:rsid w:val="00B7179D"/>
    <w:rsid w:val="00B76847"/>
    <w:rsid w:val="00B90EDF"/>
    <w:rsid w:val="00BC7EF0"/>
    <w:rsid w:val="00BD17D9"/>
    <w:rsid w:val="00C13E88"/>
    <w:rsid w:val="00C22851"/>
    <w:rsid w:val="00C22FFE"/>
    <w:rsid w:val="00C471CB"/>
    <w:rsid w:val="00C548A7"/>
    <w:rsid w:val="00C5578B"/>
    <w:rsid w:val="00C951DE"/>
    <w:rsid w:val="00CB0760"/>
    <w:rsid w:val="00CB439B"/>
    <w:rsid w:val="00CD730D"/>
    <w:rsid w:val="00D07387"/>
    <w:rsid w:val="00D12634"/>
    <w:rsid w:val="00D172C8"/>
    <w:rsid w:val="00D34E01"/>
    <w:rsid w:val="00D4050C"/>
    <w:rsid w:val="00D5002E"/>
    <w:rsid w:val="00D52208"/>
    <w:rsid w:val="00D73A09"/>
    <w:rsid w:val="00D8096C"/>
    <w:rsid w:val="00D87B7D"/>
    <w:rsid w:val="00D96B8A"/>
    <w:rsid w:val="00DA0FE0"/>
    <w:rsid w:val="00DD37A7"/>
    <w:rsid w:val="00DF117F"/>
    <w:rsid w:val="00E02E88"/>
    <w:rsid w:val="00E626B2"/>
    <w:rsid w:val="00E74463"/>
    <w:rsid w:val="00E86C10"/>
    <w:rsid w:val="00E93EE9"/>
    <w:rsid w:val="00E976D1"/>
    <w:rsid w:val="00EC14DE"/>
    <w:rsid w:val="00ED6DA8"/>
    <w:rsid w:val="00F0780D"/>
    <w:rsid w:val="00F07B89"/>
    <w:rsid w:val="00F20DA1"/>
    <w:rsid w:val="00F35E14"/>
    <w:rsid w:val="00F372B1"/>
    <w:rsid w:val="00F51CCD"/>
    <w:rsid w:val="00FD04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0AD"/>
    <w:rPr>
      <w:rFonts w:ascii="Tahoma" w:hAnsi="Tahoma" w:cs="Tahoma"/>
      <w:sz w:val="16"/>
      <w:szCs w:val="16"/>
    </w:rPr>
  </w:style>
  <w:style w:type="paragraph" w:styleId="ListParagraph">
    <w:name w:val="List Paragraph"/>
    <w:basedOn w:val="Normal"/>
    <w:uiPriority w:val="34"/>
    <w:qFormat/>
    <w:rsid w:val="007070AD"/>
    <w:pPr>
      <w:ind w:left="720"/>
      <w:contextualSpacing/>
    </w:pPr>
  </w:style>
  <w:style w:type="table" w:styleId="TableGrid">
    <w:name w:val="Table Grid"/>
    <w:basedOn w:val="TableNormal"/>
    <w:uiPriority w:val="59"/>
    <w:rsid w:val="00C47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3E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F117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61319"/>
    <w:rPr>
      <w:color w:val="0000FF" w:themeColor="hyperlink"/>
      <w:u w:val="single"/>
    </w:rPr>
  </w:style>
  <w:style w:type="paragraph" w:styleId="PlainText">
    <w:name w:val="Plain Text"/>
    <w:basedOn w:val="Normal"/>
    <w:link w:val="PlainTextChar"/>
    <w:uiPriority w:val="99"/>
    <w:semiHidden/>
    <w:unhideWhenUsed/>
    <w:rsid w:val="000613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61319"/>
    <w:rPr>
      <w:rFonts w:ascii="Consolas" w:hAnsi="Consolas"/>
      <w:sz w:val="21"/>
      <w:szCs w:val="21"/>
    </w:rPr>
  </w:style>
  <w:style w:type="paragraph" w:customStyle="1" w:styleId="H3">
    <w:name w:val="H3"/>
    <w:basedOn w:val="Normal"/>
    <w:next w:val="Normal"/>
    <w:rsid w:val="00553AA9"/>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paragraph" w:styleId="Header">
    <w:name w:val="header"/>
    <w:basedOn w:val="Normal"/>
    <w:link w:val="HeaderChar"/>
    <w:uiPriority w:val="99"/>
    <w:semiHidden/>
    <w:unhideWhenUsed/>
    <w:rsid w:val="00F20D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0DA1"/>
  </w:style>
  <w:style w:type="paragraph" w:styleId="Footer">
    <w:name w:val="footer"/>
    <w:basedOn w:val="Normal"/>
    <w:link w:val="FooterChar"/>
    <w:uiPriority w:val="99"/>
    <w:semiHidden/>
    <w:unhideWhenUsed/>
    <w:rsid w:val="00F20D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20DA1"/>
  </w:style>
  <w:style w:type="character" w:styleId="FollowedHyperlink">
    <w:name w:val="FollowedHyperlink"/>
    <w:basedOn w:val="DefaultParagraphFont"/>
    <w:uiPriority w:val="99"/>
    <w:semiHidden/>
    <w:unhideWhenUsed/>
    <w:rsid w:val="00ED6D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3496992">
      <w:bodyDiv w:val="1"/>
      <w:marLeft w:val="0"/>
      <w:marRight w:val="0"/>
      <w:marTop w:val="0"/>
      <w:marBottom w:val="0"/>
      <w:divBdr>
        <w:top w:val="none" w:sz="0" w:space="0" w:color="auto"/>
        <w:left w:val="none" w:sz="0" w:space="0" w:color="auto"/>
        <w:bottom w:val="none" w:sz="0" w:space="0" w:color="auto"/>
        <w:right w:val="none" w:sz="0" w:space="0" w:color="auto"/>
      </w:divBdr>
      <w:divsChild>
        <w:div w:id="1581594856">
          <w:marLeft w:val="0"/>
          <w:marRight w:val="0"/>
          <w:marTop w:val="0"/>
          <w:marBottom w:val="0"/>
          <w:divBdr>
            <w:top w:val="none" w:sz="0" w:space="0" w:color="auto"/>
            <w:left w:val="none" w:sz="0" w:space="0" w:color="auto"/>
            <w:bottom w:val="none" w:sz="0" w:space="0" w:color="auto"/>
            <w:right w:val="none" w:sz="0" w:space="0" w:color="auto"/>
          </w:divBdr>
          <w:divsChild>
            <w:div w:id="944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423">
      <w:bodyDiv w:val="1"/>
      <w:marLeft w:val="0"/>
      <w:marRight w:val="0"/>
      <w:marTop w:val="0"/>
      <w:marBottom w:val="0"/>
      <w:divBdr>
        <w:top w:val="none" w:sz="0" w:space="0" w:color="auto"/>
        <w:left w:val="none" w:sz="0" w:space="0" w:color="auto"/>
        <w:bottom w:val="none" w:sz="0" w:space="0" w:color="auto"/>
        <w:right w:val="none" w:sz="0" w:space="0" w:color="auto"/>
      </w:divBdr>
    </w:div>
    <w:div w:id="1173256507">
      <w:bodyDiv w:val="1"/>
      <w:marLeft w:val="0"/>
      <w:marRight w:val="0"/>
      <w:marTop w:val="0"/>
      <w:marBottom w:val="0"/>
      <w:divBdr>
        <w:top w:val="none" w:sz="0" w:space="0" w:color="auto"/>
        <w:left w:val="none" w:sz="0" w:space="0" w:color="auto"/>
        <w:bottom w:val="none" w:sz="0" w:space="0" w:color="auto"/>
        <w:right w:val="none" w:sz="0" w:space="0" w:color="auto"/>
      </w:divBdr>
      <w:divsChild>
        <w:div w:id="1542742862">
          <w:marLeft w:val="0"/>
          <w:marRight w:val="0"/>
          <w:marTop w:val="0"/>
          <w:marBottom w:val="0"/>
          <w:divBdr>
            <w:top w:val="none" w:sz="0" w:space="0" w:color="auto"/>
            <w:left w:val="none" w:sz="0" w:space="0" w:color="auto"/>
            <w:bottom w:val="none" w:sz="0" w:space="0" w:color="auto"/>
            <w:right w:val="none" w:sz="0" w:space="0" w:color="auto"/>
          </w:divBdr>
          <w:divsChild>
            <w:div w:id="495609218">
              <w:marLeft w:val="0"/>
              <w:marRight w:val="0"/>
              <w:marTop w:val="0"/>
              <w:marBottom w:val="0"/>
              <w:divBdr>
                <w:top w:val="none" w:sz="0" w:space="0" w:color="auto"/>
                <w:left w:val="none" w:sz="0" w:space="0" w:color="auto"/>
                <w:bottom w:val="none" w:sz="0" w:space="0" w:color="auto"/>
                <w:right w:val="none" w:sz="0" w:space="0" w:color="auto"/>
              </w:divBdr>
              <w:divsChild>
                <w:div w:id="2723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9220">
      <w:bodyDiv w:val="1"/>
      <w:marLeft w:val="0"/>
      <w:marRight w:val="0"/>
      <w:marTop w:val="0"/>
      <w:marBottom w:val="0"/>
      <w:divBdr>
        <w:top w:val="none" w:sz="0" w:space="0" w:color="auto"/>
        <w:left w:val="none" w:sz="0" w:space="0" w:color="auto"/>
        <w:bottom w:val="none" w:sz="0" w:space="0" w:color="auto"/>
        <w:right w:val="none" w:sz="0" w:space="0" w:color="auto"/>
      </w:divBdr>
    </w:div>
    <w:div w:id="1734544535">
      <w:bodyDiv w:val="1"/>
      <w:marLeft w:val="0"/>
      <w:marRight w:val="0"/>
      <w:marTop w:val="0"/>
      <w:marBottom w:val="0"/>
      <w:divBdr>
        <w:top w:val="none" w:sz="0" w:space="0" w:color="auto"/>
        <w:left w:val="none" w:sz="0" w:space="0" w:color="auto"/>
        <w:bottom w:val="none" w:sz="0" w:space="0" w:color="auto"/>
        <w:right w:val="none" w:sz="0" w:space="0" w:color="auto"/>
      </w:divBdr>
    </w:div>
    <w:div w:id="1873376885">
      <w:bodyDiv w:val="1"/>
      <w:marLeft w:val="0"/>
      <w:marRight w:val="0"/>
      <w:marTop w:val="0"/>
      <w:marBottom w:val="0"/>
      <w:divBdr>
        <w:top w:val="none" w:sz="0" w:space="0" w:color="auto"/>
        <w:left w:val="none" w:sz="0" w:space="0" w:color="auto"/>
        <w:bottom w:val="none" w:sz="0" w:space="0" w:color="auto"/>
        <w:right w:val="none" w:sz="0" w:space="0" w:color="auto"/>
      </w:divBdr>
      <w:divsChild>
        <w:div w:id="25176563">
          <w:marLeft w:val="0"/>
          <w:marRight w:val="0"/>
          <w:marTop w:val="0"/>
          <w:marBottom w:val="0"/>
          <w:divBdr>
            <w:top w:val="none" w:sz="0" w:space="0" w:color="auto"/>
            <w:left w:val="none" w:sz="0" w:space="0" w:color="auto"/>
            <w:bottom w:val="none" w:sz="0" w:space="0" w:color="auto"/>
            <w:right w:val="none" w:sz="0" w:space="0" w:color="auto"/>
          </w:divBdr>
          <w:divsChild>
            <w:div w:id="4347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s.gov.uk/assets/biscore/higher-education/docs/g/11-728-guidance-to-director-fair-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8D27-2D60-46F0-BCF3-8847C672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adcjw2</cp:lastModifiedBy>
  <cp:revision>2</cp:revision>
  <cp:lastPrinted>2011-02-28T15:07:00Z</cp:lastPrinted>
  <dcterms:created xsi:type="dcterms:W3CDTF">2011-03-02T10:20:00Z</dcterms:created>
  <dcterms:modified xsi:type="dcterms:W3CDTF">2011-03-02T10:20:00Z</dcterms:modified>
</cp:coreProperties>
</file>