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886D6B" w:rsidRPr="00EB2596">
        <w:trPr>
          <w:cantSplit/>
          <w:trHeight w:val="2281"/>
        </w:trPr>
        <w:tc>
          <w:tcPr>
            <w:tcW w:w="5760" w:type="dxa"/>
          </w:tcPr>
          <w:p w:rsidR="00886D6B" w:rsidRPr="00EB2596" w:rsidRDefault="00886D6B" w:rsidP="004C54C9">
            <w:pPr>
              <w:spacing w:before="120"/>
              <w:ind w:right="26"/>
              <w:jc w:val="both"/>
              <w:rPr>
                <w:rFonts w:cs="Arial"/>
                <w:b/>
                <w:sz w:val="44"/>
                <w:lang w:val="en-GB"/>
              </w:rPr>
            </w:pPr>
            <w:bookmarkStart w:id="0" w:name="_GoBack" w:colFirst="0" w:colLast="1"/>
          </w:p>
        </w:tc>
        <w:tc>
          <w:tcPr>
            <w:tcW w:w="3600" w:type="dxa"/>
          </w:tcPr>
          <w:p w:rsidR="00886D6B" w:rsidRPr="00EB2596" w:rsidRDefault="00044BFA" w:rsidP="00AF0707">
            <w:pPr>
              <w:rPr>
                <w:rFonts w:cs="Arial"/>
                <w:lang w:val="en-GB"/>
              </w:rPr>
            </w:pPr>
            <w:r w:rsidRPr="00EB2596">
              <w:rPr>
                <w:rFonts w:cs="Arial"/>
                <w:noProof/>
                <w:lang w:val="en-GB" w:eastAsia="zh-CN"/>
              </w:rPr>
              <w:drawing>
                <wp:inline distT="0" distB="0" distL="0" distR="0" wp14:anchorId="43F88EF1" wp14:editId="31908C91">
                  <wp:extent cx="2162175" cy="5143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D6B" w:rsidRPr="00EB2596" w:rsidRDefault="00886D6B" w:rsidP="00AF0707">
            <w:pPr>
              <w:spacing w:after="1100"/>
              <w:ind w:right="26"/>
              <w:jc w:val="both"/>
              <w:rPr>
                <w:rFonts w:cs="Arial"/>
                <w:lang w:val="en-GB"/>
              </w:rPr>
            </w:pPr>
          </w:p>
        </w:tc>
      </w:tr>
    </w:tbl>
    <w:bookmarkEnd w:id="0"/>
    <w:p w:rsidR="00886D6B" w:rsidRPr="00EB2596" w:rsidRDefault="00886D6B" w:rsidP="00886D6B">
      <w:pPr>
        <w:pStyle w:val="H3"/>
        <w:keepNext w:val="0"/>
        <w:tabs>
          <w:tab w:val="left" w:pos="1170"/>
        </w:tabs>
        <w:outlineLvl w:val="9"/>
        <w:rPr>
          <w:rFonts w:ascii="Arial" w:hAnsi="Arial" w:cs="Arial"/>
          <w:sz w:val="36"/>
          <w:szCs w:val="36"/>
        </w:rPr>
      </w:pPr>
      <w:r w:rsidRPr="00EB2596">
        <w:rPr>
          <w:rFonts w:ascii="Arial" w:hAnsi="Arial" w:cs="Arial"/>
          <w:sz w:val="36"/>
          <w:szCs w:val="36"/>
        </w:rPr>
        <w:t>SENATE</w:t>
      </w:r>
    </w:p>
    <w:p w:rsidR="00886D6B" w:rsidRPr="00EB2596" w:rsidRDefault="00273ED6" w:rsidP="00A75AF9">
      <w:pPr>
        <w:pStyle w:val="H3"/>
        <w:keepNext w:val="0"/>
        <w:tabs>
          <w:tab w:val="left" w:pos="1440"/>
        </w:tabs>
        <w:ind w:left="1440" w:hanging="1440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Subject:</w:t>
      </w:r>
      <w:r>
        <w:rPr>
          <w:rFonts w:ascii="Arial" w:hAnsi="Arial" w:cs="Arial"/>
          <w:sz w:val="24"/>
          <w:szCs w:val="24"/>
        </w:rPr>
        <w:tab/>
      </w:r>
      <w:r w:rsidR="00886D6B" w:rsidRPr="00EB2596">
        <w:rPr>
          <w:rFonts w:ascii="Arial" w:hAnsi="Arial" w:cs="Arial"/>
          <w:sz w:val="24"/>
          <w:szCs w:val="24"/>
        </w:rPr>
        <w:t xml:space="preserve">Establishment of </w:t>
      </w:r>
      <w:r w:rsidR="006937BA">
        <w:rPr>
          <w:rFonts w:ascii="Arial" w:hAnsi="Arial" w:cs="Arial"/>
          <w:sz w:val="24"/>
          <w:szCs w:val="24"/>
        </w:rPr>
        <w:t>the</w:t>
      </w:r>
      <w:r w:rsidR="006363E4" w:rsidRPr="00EB2596">
        <w:rPr>
          <w:rFonts w:ascii="Arial" w:hAnsi="Arial" w:cs="Arial"/>
          <w:sz w:val="24"/>
          <w:szCs w:val="24"/>
        </w:rPr>
        <w:t xml:space="preserve"> </w:t>
      </w:r>
      <w:r w:rsidR="00013D02">
        <w:rPr>
          <w:rFonts w:ascii="Arial" w:hAnsi="Arial" w:cs="Arial"/>
          <w:sz w:val="24"/>
          <w:szCs w:val="24"/>
        </w:rPr>
        <w:t>Centre for Engineering and Design Education</w:t>
      </w:r>
      <w:r w:rsidR="006363E4" w:rsidRPr="00EB2596">
        <w:rPr>
          <w:rFonts w:ascii="Arial" w:hAnsi="Arial" w:cs="Arial"/>
          <w:sz w:val="24"/>
          <w:szCs w:val="24"/>
        </w:rPr>
        <w:t>.</w:t>
      </w:r>
    </w:p>
    <w:p w:rsidR="00886D6B" w:rsidRPr="00EB2596" w:rsidRDefault="00273ED6" w:rsidP="00013D02">
      <w:pPr>
        <w:tabs>
          <w:tab w:val="left" w:pos="1440"/>
        </w:tabs>
        <w:ind w:left="1440" w:hanging="14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Origin:</w:t>
      </w:r>
      <w:r>
        <w:rPr>
          <w:rFonts w:ascii="Arial" w:hAnsi="Arial" w:cs="Arial"/>
          <w:b/>
          <w:lang w:val="en-GB"/>
        </w:rPr>
        <w:tab/>
      </w:r>
      <w:r w:rsidR="006363E4" w:rsidRPr="00EB2596">
        <w:rPr>
          <w:rFonts w:ascii="Arial" w:hAnsi="Arial" w:cs="Arial"/>
          <w:b/>
          <w:lang w:val="en-GB"/>
        </w:rPr>
        <w:t xml:space="preserve">Steve Rothberg – </w:t>
      </w:r>
      <w:r w:rsidR="007D3AE8" w:rsidRPr="00EB2596">
        <w:rPr>
          <w:rFonts w:ascii="Arial" w:hAnsi="Arial" w:cs="Arial"/>
          <w:b/>
          <w:lang w:val="en-GB"/>
        </w:rPr>
        <w:t>Pro Vice Chancellor (</w:t>
      </w:r>
      <w:r w:rsidR="007D3AE8">
        <w:rPr>
          <w:rFonts w:ascii="Arial" w:hAnsi="Arial" w:cs="Arial"/>
          <w:b/>
          <w:lang w:val="en-GB"/>
        </w:rPr>
        <w:t>Enterprise</w:t>
      </w:r>
      <w:proofErr w:type="gramStart"/>
      <w:r w:rsidR="007D3AE8" w:rsidRPr="00EB2596">
        <w:rPr>
          <w:rFonts w:ascii="Arial" w:hAnsi="Arial" w:cs="Arial"/>
          <w:b/>
          <w:lang w:val="en-GB"/>
        </w:rPr>
        <w:t>)</w:t>
      </w:r>
      <w:proofErr w:type="gramEnd"/>
      <w:r w:rsidR="006363E4" w:rsidRPr="00EB2596">
        <w:rPr>
          <w:rFonts w:ascii="Arial" w:hAnsi="Arial" w:cs="Arial"/>
          <w:b/>
          <w:lang w:val="en-GB"/>
        </w:rPr>
        <w:br/>
      </w:r>
      <w:r w:rsidR="00013D02">
        <w:rPr>
          <w:rFonts w:ascii="Arial" w:hAnsi="Arial" w:cs="Arial"/>
          <w:b/>
          <w:lang w:val="en-GB"/>
        </w:rPr>
        <w:t xml:space="preserve">Melanie </w:t>
      </w:r>
      <w:r w:rsidR="00D46495">
        <w:rPr>
          <w:rFonts w:ascii="Arial" w:hAnsi="Arial" w:cs="Arial"/>
          <w:b/>
          <w:lang w:val="en-GB"/>
        </w:rPr>
        <w:t>King</w:t>
      </w:r>
      <w:r w:rsidR="00013D02">
        <w:rPr>
          <w:rFonts w:ascii="Arial" w:hAnsi="Arial" w:cs="Arial"/>
          <w:b/>
          <w:lang w:val="en-GB"/>
        </w:rPr>
        <w:t xml:space="preserve"> – Head of the Centre for Engineering and Design Education</w:t>
      </w:r>
    </w:p>
    <w:p w:rsidR="00886D6B" w:rsidRPr="00EB2596" w:rsidRDefault="00886D6B" w:rsidP="00886D6B">
      <w:pPr>
        <w:tabs>
          <w:tab w:val="left" w:pos="1170"/>
          <w:tab w:val="left" w:pos="8910"/>
        </w:tabs>
        <w:rPr>
          <w:rFonts w:cs="Arial"/>
          <w:b/>
          <w:sz w:val="28"/>
          <w:u w:val="single"/>
          <w:lang w:val="en-GB"/>
        </w:rPr>
      </w:pPr>
      <w:r w:rsidRPr="00EB2596">
        <w:rPr>
          <w:rFonts w:cs="Arial"/>
          <w:b/>
          <w:sz w:val="28"/>
          <w:u w:val="single"/>
          <w:lang w:val="en-GB"/>
        </w:rPr>
        <w:tab/>
      </w:r>
      <w:r w:rsidRPr="00EB2596">
        <w:rPr>
          <w:rFonts w:cs="Arial"/>
          <w:b/>
          <w:sz w:val="28"/>
          <w:u w:val="single"/>
          <w:lang w:val="en-GB"/>
        </w:rPr>
        <w:tab/>
      </w:r>
    </w:p>
    <w:p w:rsidR="00886D6B" w:rsidRPr="00EB2596" w:rsidRDefault="00886D6B" w:rsidP="00886D6B">
      <w:pPr>
        <w:tabs>
          <w:tab w:val="left" w:pos="1170"/>
        </w:tabs>
        <w:outlineLvl w:val="0"/>
        <w:rPr>
          <w:rFonts w:cs="Arial"/>
          <w:b/>
          <w:sz w:val="22"/>
          <w:szCs w:val="22"/>
          <w:lang w:val="en-GB"/>
        </w:rPr>
      </w:pPr>
    </w:p>
    <w:p w:rsidR="003F1058" w:rsidRPr="00EB2596" w:rsidRDefault="00886D6B" w:rsidP="003F1058">
      <w:pPr>
        <w:rPr>
          <w:rFonts w:ascii="Arial" w:hAnsi="Arial" w:cs="Arial"/>
          <w:b/>
          <w:sz w:val="22"/>
          <w:szCs w:val="22"/>
          <w:lang w:val="en-GB"/>
        </w:rPr>
      </w:pPr>
      <w:r w:rsidRPr="00EB2596">
        <w:rPr>
          <w:rFonts w:ascii="Arial" w:hAnsi="Arial" w:cs="Arial"/>
          <w:b/>
          <w:sz w:val="22"/>
          <w:szCs w:val="22"/>
          <w:lang w:val="en-GB"/>
        </w:rPr>
        <w:t>Executive Summary</w:t>
      </w:r>
      <w:r w:rsidR="003F1058" w:rsidRPr="00EB2596">
        <w:rPr>
          <w:rFonts w:ascii="Arial" w:hAnsi="Arial" w:cs="Arial"/>
          <w:b/>
          <w:sz w:val="22"/>
          <w:szCs w:val="22"/>
          <w:lang w:val="en-GB"/>
        </w:rPr>
        <w:t xml:space="preserve"> / Senate Action Required</w:t>
      </w:r>
      <w:r w:rsidRPr="00EB2596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Pr="00EB2596">
        <w:rPr>
          <w:rFonts w:ascii="Arial" w:hAnsi="Arial" w:cs="Arial"/>
          <w:b/>
          <w:sz w:val="22"/>
          <w:szCs w:val="22"/>
          <w:lang w:val="en-GB"/>
        </w:rPr>
        <w:tab/>
      </w:r>
    </w:p>
    <w:p w:rsidR="00886D6B" w:rsidRPr="00EB2596" w:rsidRDefault="003F1058" w:rsidP="00013D02">
      <w:pPr>
        <w:rPr>
          <w:rFonts w:ascii="Arial" w:hAnsi="Arial" w:cs="Arial"/>
          <w:sz w:val="22"/>
          <w:lang w:val="en-GB"/>
        </w:rPr>
      </w:pPr>
      <w:r w:rsidRPr="00EB2596">
        <w:rPr>
          <w:rFonts w:ascii="Arial" w:hAnsi="Arial" w:cs="Arial"/>
          <w:sz w:val="22"/>
          <w:lang w:val="en-GB"/>
        </w:rPr>
        <w:t xml:space="preserve">Senate is asked to approve the establishment of </w:t>
      </w:r>
      <w:r w:rsidR="006363E4" w:rsidRPr="00EB2596">
        <w:rPr>
          <w:rFonts w:ascii="Arial" w:hAnsi="Arial" w:cs="Arial"/>
          <w:sz w:val="22"/>
          <w:lang w:val="en-GB"/>
        </w:rPr>
        <w:t xml:space="preserve">the </w:t>
      </w:r>
      <w:r w:rsidR="00013D02" w:rsidRPr="00013D02">
        <w:rPr>
          <w:rFonts w:ascii="Arial" w:hAnsi="Arial" w:cs="Arial"/>
          <w:sz w:val="22"/>
          <w:lang w:val="en-GB"/>
        </w:rPr>
        <w:t>Centre for Engineering and Design Education</w:t>
      </w:r>
    </w:p>
    <w:p w:rsidR="00886D6B" w:rsidRPr="00EB2596" w:rsidRDefault="00886D6B" w:rsidP="00886D6B">
      <w:pPr>
        <w:tabs>
          <w:tab w:val="left" w:pos="1170"/>
          <w:tab w:val="left" w:pos="8910"/>
        </w:tabs>
        <w:rPr>
          <w:rFonts w:cs="Arial"/>
          <w:b/>
          <w:sz w:val="28"/>
          <w:u w:val="single"/>
          <w:lang w:val="en-GB"/>
        </w:rPr>
      </w:pPr>
      <w:r w:rsidRPr="00EB2596">
        <w:rPr>
          <w:rFonts w:cs="Arial"/>
          <w:b/>
          <w:sz w:val="28"/>
          <w:u w:val="single"/>
          <w:lang w:val="en-GB"/>
        </w:rPr>
        <w:tab/>
      </w:r>
      <w:r w:rsidRPr="00EB2596">
        <w:rPr>
          <w:rFonts w:cs="Arial"/>
          <w:b/>
          <w:sz w:val="28"/>
          <w:u w:val="single"/>
          <w:lang w:val="en-GB"/>
        </w:rPr>
        <w:tab/>
      </w:r>
    </w:p>
    <w:p w:rsidR="00273ED6" w:rsidRDefault="00273ED6" w:rsidP="0016570B">
      <w:pPr>
        <w:spacing w:after="120"/>
        <w:rPr>
          <w:rFonts w:ascii="Arial" w:hAnsi="Arial" w:cs="Arial"/>
          <w:sz w:val="22"/>
          <w:lang w:val="en-GB"/>
        </w:rPr>
      </w:pPr>
    </w:p>
    <w:p w:rsidR="00013D02" w:rsidRDefault="00013D02" w:rsidP="00013D02">
      <w:pPr>
        <w:tabs>
          <w:tab w:val="left" w:pos="1020"/>
        </w:tabs>
        <w:spacing w:before="120" w:after="120" w:line="280" w:lineRule="atLeast"/>
        <w:rPr>
          <w:rFonts w:ascii="Arial" w:hAnsi="Arial" w:cs="Arial"/>
          <w:sz w:val="22"/>
          <w:szCs w:val="22"/>
        </w:rPr>
      </w:pPr>
      <w:r w:rsidRPr="00013D02">
        <w:rPr>
          <w:rFonts w:ascii="Arial" w:hAnsi="Arial" w:cs="Arial"/>
          <w:sz w:val="22"/>
          <w:szCs w:val="22"/>
        </w:rPr>
        <w:t xml:space="preserve">The Centre </w:t>
      </w:r>
      <w:r w:rsidRPr="00013D02">
        <w:rPr>
          <w:rFonts w:ascii="Arial" w:hAnsi="Arial" w:cs="Arial"/>
          <w:sz w:val="22"/>
          <w:lang w:val="en-GB"/>
        </w:rPr>
        <w:t>for Engineering and Design Education</w:t>
      </w:r>
      <w:r w:rsidRPr="00013D02">
        <w:rPr>
          <w:rFonts w:ascii="Arial" w:hAnsi="Arial" w:cs="Arial"/>
          <w:sz w:val="22"/>
          <w:szCs w:val="22"/>
        </w:rPr>
        <w:t xml:space="preserve"> will build on the </w:t>
      </w:r>
      <w:r>
        <w:rPr>
          <w:rFonts w:ascii="Arial" w:hAnsi="Arial" w:cs="Arial"/>
          <w:sz w:val="22"/>
          <w:szCs w:val="22"/>
        </w:rPr>
        <w:t xml:space="preserve">outstanding </w:t>
      </w:r>
      <w:r w:rsidRPr="00013D02">
        <w:rPr>
          <w:rFonts w:ascii="Arial" w:hAnsi="Arial" w:cs="Arial"/>
          <w:sz w:val="22"/>
          <w:szCs w:val="22"/>
        </w:rPr>
        <w:t xml:space="preserve">achievements of the </w:t>
      </w:r>
      <w:r>
        <w:rPr>
          <w:rFonts w:ascii="Arial" w:hAnsi="Arial" w:cs="Arial"/>
          <w:sz w:val="22"/>
          <w:szCs w:val="22"/>
        </w:rPr>
        <w:t>Engineering Centre for Excellence in Teaching and Learning (</w:t>
      </w:r>
      <w:proofErr w:type="spellStart"/>
      <w:r w:rsidRPr="00013D02">
        <w:rPr>
          <w:rFonts w:ascii="Arial" w:hAnsi="Arial" w:cs="Arial"/>
          <w:sz w:val="22"/>
          <w:szCs w:val="22"/>
        </w:rPr>
        <w:t>engCETL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013D02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the Higher Education Academy </w:t>
      </w:r>
      <w:r w:rsidRPr="00013D02">
        <w:rPr>
          <w:rFonts w:ascii="Arial" w:hAnsi="Arial" w:cs="Arial"/>
          <w:sz w:val="22"/>
          <w:szCs w:val="22"/>
        </w:rPr>
        <w:t>Eng</w:t>
      </w:r>
      <w:r>
        <w:rPr>
          <w:rFonts w:ascii="Arial" w:hAnsi="Arial" w:cs="Arial"/>
          <w:sz w:val="22"/>
          <w:szCs w:val="22"/>
        </w:rPr>
        <w:t xml:space="preserve">ineering </w:t>
      </w:r>
      <w:r w:rsidRPr="00013D0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ubject </w:t>
      </w:r>
      <w:r w:rsidRPr="00013D0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entre</w:t>
      </w:r>
      <w:r w:rsidR="00FC1AF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C1AF4">
        <w:rPr>
          <w:rFonts w:ascii="Arial" w:hAnsi="Arial" w:cs="Arial"/>
          <w:sz w:val="22"/>
          <w:szCs w:val="22"/>
        </w:rPr>
        <w:t>EngSC</w:t>
      </w:r>
      <w:proofErr w:type="spellEnd"/>
      <w:r w:rsidR="00FC1AF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which was hosted at Loughborough. </w:t>
      </w:r>
      <w:r w:rsidRPr="00013D02">
        <w:rPr>
          <w:rFonts w:ascii="Arial" w:hAnsi="Arial" w:cs="Arial"/>
          <w:sz w:val="22"/>
          <w:szCs w:val="22"/>
        </w:rPr>
        <w:t xml:space="preserve"> </w:t>
      </w:r>
    </w:p>
    <w:p w:rsidR="00013D02" w:rsidRPr="00013D02" w:rsidRDefault="00013D02" w:rsidP="00FC1AF4">
      <w:pPr>
        <w:tabs>
          <w:tab w:val="left" w:pos="1020"/>
        </w:tabs>
        <w:spacing w:before="120" w:after="12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development has been made necessary by </w:t>
      </w:r>
      <w:r w:rsidRPr="00013D02">
        <w:rPr>
          <w:rFonts w:ascii="Arial" w:hAnsi="Arial" w:cs="Arial"/>
          <w:sz w:val="22"/>
          <w:szCs w:val="22"/>
        </w:rPr>
        <w:t xml:space="preserve">re-structuring both </w:t>
      </w:r>
      <w:r w:rsidR="00FC1AF4">
        <w:rPr>
          <w:rFonts w:ascii="Arial" w:hAnsi="Arial" w:cs="Arial"/>
          <w:sz w:val="22"/>
          <w:szCs w:val="22"/>
        </w:rPr>
        <w:t xml:space="preserve">here </w:t>
      </w:r>
      <w:r>
        <w:rPr>
          <w:rFonts w:ascii="Arial" w:hAnsi="Arial" w:cs="Arial"/>
          <w:sz w:val="22"/>
          <w:szCs w:val="22"/>
        </w:rPr>
        <w:t xml:space="preserve">at </w:t>
      </w:r>
      <w:r w:rsidRPr="00013D02">
        <w:rPr>
          <w:rFonts w:ascii="Arial" w:hAnsi="Arial" w:cs="Arial"/>
          <w:sz w:val="22"/>
          <w:szCs w:val="22"/>
        </w:rPr>
        <w:t xml:space="preserve">the University and </w:t>
      </w:r>
      <w:r>
        <w:rPr>
          <w:rFonts w:ascii="Arial" w:hAnsi="Arial" w:cs="Arial"/>
          <w:sz w:val="22"/>
          <w:szCs w:val="22"/>
        </w:rPr>
        <w:t xml:space="preserve">in </w:t>
      </w:r>
      <w:r w:rsidRPr="00013D0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national </w:t>
      </w:r>
      <w:r w:rsidRPr="00013D02">
        <w:rPr>
          <w:rFonts w:ascii="Arial" w:hAnsi="Arial" w:cs="Arial"/>
          <w:sz w:val="22"/>
          <w:szCs w:val="22"/>
        </w:rPr>
        <w:t>Higher Education Academy</w:t>
      </w:r>
      <w:r w:rsidR="00FC1AF4">
        <w:rPr>
          <w:rFonts w:ascii="Arial" w:hAnsi="Arial" w:cs="Arial"/>
          <w:sz w:val="22"/>
          <w:szCs w:val="22"/>
        </w:rPr>
        <w:t xml:space="preserve"> (HEA).</w:t>
      </w:r>
      <w:r w:rsidR="00FC1AF4" w:rsidRPr="00013D02">
        <w:rPr>
          <w:rFonts w:ascii="Arial" w:hAnsi="Arial" w:cs="Arial"/>
          <w:sz w:val="22"/>
          <w:szCs w:val="22"/>
        </w:rPr>
        <w:t xml:space="preserve"> </w:t>
      </w:r>
      <w:r w:rsidRPr="00013D02">
        <w:rPr>
          <w:rFonts w:ascii="Arial" w:hAnsi="Arial" w:cs="Arial"/>
          <w:sz w:val="22"/>
          <w:szCs w:val="22"/>
        </w:rPr>
        <w:t xml:space="preserve">The </w:t>
      </w:r>
      <w:r w:rsidR="00FC1AF4">
        <w:rPr>
          <w:rFonts w:ascii="Arial" w:hAnsi="Arial" w:cs="Arial"/>
          <w:sz w:val="22"/>
          <w:szCs w:val="22"/>
        </w:rPr>
        <w:t xml:space="preserve">new </w:t>
      </w:r>
      <w:r w:rsidRPr="00013D02">
        <w:rPr>
          <w:rFonts w:ascii="Arial" w:hAnsi="Arial" w:cs="Arial"/>
          <w:sz w:val="22"/>
          <w:szCs w:val="22"/>
        </w:rPr>
        <w:t xml:space="preserve">Centre will provide engineering and design education support to staff </w:t>
      </w:r>
      <w:r w:rsidR="00FC1AF4">
        <w:rPr>
          <w:rFonts w:ascii="Arial" w:hAnsi="Arial" w:cs="Arial"/>
          <w:sz w:val="22"/>
          <w:szCs w:val="22"/>
        </w:rPr>
        <w:t xml:space="preserve">and students </w:t>
      </w:r>
      <w:r w:rsidRPr="00013D02">
        <w:rPr>
          <w:rFonts w:ascii="Arial" w:hAnsi="Arial" w:cs="Arial"/>
          <w:sz w:val="22"/>
          <w:szCs w:val="22"/>
        </w:rPr>
        <w:t xml:space="preserve">from the </w:t>
      </w:r>
      <w:r w:rsidR="00FC1AF4">
        <w:rPr>
          <w:rFonts w:ascii="Arial" w:hAnsi="Arial" w:cs="Arial"/>
          <w:sz w:val="22"/>
          <w:szCs w:val="22"/>
        </w:rPr>
        <w:t xml:space="preserve">following </w:t>
      </w:r>
      <w:r w:rsidRPr="00013D02">
        <w:rPr>
          <w:rFonts w:ascii="Arial" w:hAnsi="Arial" w:cs="Arial"/>
          <w:sz w:val="22"/>
          <w:szCs w:val="22"/>
        </w:rPr>
        <w:t>schools:</w:t>
      </w:r>
    </w:p>
    <w:p w:rsidR="00013D02" w:rsidRPr="00013D02" w:rsidRDefault="00013D02" w:rsidP="00013D02">
      <w:pPr>
        <w:pStyle w:val="ListParagraph"/>
        <w:numPr>
          <w:ilvl w:val="0"/>
          <w:numId w:val="48"/>
        </w:numPr>
        <w:tabs>
          <w:tab w:val="left" w:pos="1020"/>
        </w:tabs>
        <w:spacing w:before="120" w:after="120" w:line="280" w:lineRule="atLeast"/>
        <w:rPr>
          <w:rFonts w:ascii="Arial" w:hAnsi="Arial" w:cs="Arial"/>
        </w:rPr>
      </w:pPr>
      <w:r w:rsidRPr="00013D02">
        <w:rPr>
          <w:rFonts w:ascii="Arial" w:hAnsi="Arial" w:cs="Arial"/>
        </w:rPr>
        <w:t>Loughborough Design School</w:t>
      </w:r>
    </w:p>
    <w:p w:rsidR="00013D02" w:rsidRPr="00013D02" w:rsidRDefault="00013D02" w:rsidP="00013D02">
      <w:pPr>
        <w:pStyle w:val="ListParagraph"/>
        <w:numPr>
          <w:ilvl w:val="0"/>
          <w:numId w:val="48"/>
        </w:numPr>
        <w:tabs>
          <w:tab w:val="left" w:pos="1020"/>
        </w:tabs>
        <w:spacing w:before="120" w:after="120" w:line="280" w:lineRule="atLeast"/>
        <w:rPr>
          <w:rFonts w:ascii="Arial" w:hAnsi="Arial" w:cs="Arial"/>
        </w:rPr>
      </w:pPr>
      <w:r w:rsidRPr="00013D02">
        <w:rPr>
          <w:rFonts w:ascii="Arial" w:hAnsi="Arial" w:cs="Arial"/>
        </w:rPr>
        <w:t>School of Aeronautical, Automotive, Chemical and Materials Engineering</w:t>
      </w:r>
    </w:p>
    <w:p w:rsidR="00013D02" w:rsidRPr="00013D02" w:rsidRDefault="00013D02" w:rsidP="00013D02">
      <w:pPr>
        <w:pStyle w:val="ListParagraph"/>
        <w:numPr>
          <w:ilvl w:val="0"/>
          <w:numId w:val="48"/>
        </w:numPr>
        <w:tabs>
          <w:tab w:val="left" w:pos="1020"/>
        </w:tabs>
        <w:spacing w:before="120" w:after="120" w:line="280" w:lineRule="atLeast"/>
        <w:rPr>
          <w:rFonts w:ascii="Arial" w:hAnsi="Arial" w:cs="Arial"/>
        </w:rPr>
      </w:pPr>
      <w:r w:rsidRPr="00013D02">
        <w:rPr>
          <w:rFonts w:ascii="Arial" w:hAnsi="Arial" w:cs="Arial"/>
        </w:rPr>
        <w:t xml:space="preserve">School of Civil and Building Engineering, </w:t>
      </w:r>
    </w:p>
    <w:p w:rsidR="00013D02" w:rsidRPr="00013D02" w:rsidRDefault="00013D02" w:rsidP="00013D02">
      <w:pPr>
        <w:pStyle w:val="ListParagraph"/>
        <w:numPr>
          <w:ilvl w:val="0"/>
          <w:numId w:val="48"/>
        </w:numPr>
        <w:tabs>
          <w:tab w:val="left" w:pos="1020"/>
        </w:tabs>
        <w:spacing w:before="120" w:after="120" w:line="280" w:lineRule="atLeast"/>
        <w:rPr>
          <w:rFonts w:ascii="Arial" w:hAnsi="Arial" w:cs="Arial"/>
        </w:rPr>
      </w:pPr>
      <w:r w:rsidRPr="00013D02">
        <w:rPr>
          <w:rFonts w:ascii="Arial" w:hAnsi="Arial" w:cs="Arial"/>
        </w:rPr>
        <w:t>School of Electronic, Electrical and Systems Engineering</w:t>
      </w:r>
    </w:p>
    <w:p w:rsidR="00013D02" w:rsidRPr="00013D02" w:rsidRDefault="00013D02" w:rsidP="00013D02">
      <w:pPr>
        <w:pStyle w:val="ListParagraph"/>
        <w:numPr>
          <w:ilvl w:val="0"/>
          <w:numId w:val="48"/>
        </w:numPr>
        <w:tabs>
          <w:tab w:val="left" w:pos="1020"/>
        </w:tabs>
        <w:spacing w:before="120" w:after="120" w:line="280" w:lineRule="atLeast"/>
        <w:rPr>
          <w:rFonts w:ascii="Arial" w:hAnsi="Arial" w:cs="Arial"/>
        </w:rPr>
      </w:pPr>
      <w:proofErr w:type="spellStart"/>
      <w:r w:rsidRPr="00013D02">
        <w:rPr>
          <w:rFonts w:ascii="Arial" w:hAnsi="Arial" w:cs="Arial"/>
        </w:rPr>
        <w:t>Wolfson</w:t>
      </w:r>
      <w:proofErr w:type="spellEnd"/>
      <w:r w:rsidRPr="00013D02">
        <w:rPr>
          <w:rFonts w:ascii="Arial" w:hAnsi="Arial" w:cs="Arial"/>
        </w:rPr>
        <w:t xml:space="preserve"> School of Mechanical and Manufacturing Engineering </w:t>
      </w:r>
    </w:p>
    <w:p w:rsidR="00FC1AF4" w:rsidRDefault="00FC1AF4" w:rsidP="00FC1AF4">
      <w:pPr>
        <w:tabs>
          <w:tab w:val="left" w:pos="1020"/>
        </w:tabs>
        <w:spacing w:before="120" w:after="12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schools represent the community previously served by </w:t>
      </w:r>
      <w:proofErr w:type="spellStart"/>
      <w:r>
        <w:rPr>
          <w:rFonts w:ascii="Arial" w:hAnsi="Arial" w:cs="Arial"/>
          <w:sz w:val="22"/>
          <w:szCs w:val="22"/>
        </w:rPr>
        <w:t>engCETL</w:t>
      </w:r>
      <w:proofErr w:type="spellEnd"/>
      <w:r>
        <w:rPr>
          <w:rFonts w:ascii="Arial" w:hAnsi="Arial" w:cs="Arial"/>
          <w:sz w:val="22"/>
          <w:szCs w:val="22"/>
        </w:rPr>
        <w:t xml:space="preserve"> and together they are funding the Centre. </w:t>
      </w:r>
    </w:p>
    <w:p w:rsidR="00013D02" w:rsidRPr="00013D02" w:rsidRDefault="00FC1AF4" w:rsidP="00FC1AF4">
      <w:pPr>
        <w:tabs>
          <w:tab w:val="left" w:pos="1020"/>
        </w:tabs>
        <w:spacing w:before="120" w:after="12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aims of the Centre are to</w:t>
      </w:r>
      <w:r w:rsidR="00013D02" w:rsidRPr="00013D02">
        <w:rPr>
          <w:rFonts w:ascii="Arial" w:hAnsi="Arial" w:cs="Arial"/>
          <w:sz w:val="22"/>
          <w:szCs w:val="22"/>
        </w:rPr>
        <w:t>:</w:t>
      </w:r>
    </w:p>
    <w:p w:rsidR="00013D02" w:rsidRPr="00013D02" w:rsidRDefault="00013D02" w:rsidP="00013D02">
      <w:pPr>
        <w:pStyle w:val="ListParagraph"/>
        <w:numPr>
          <w:ilvl w:val="0"/>
          <w:numId w:val="49"/>
        </w:numPr>
        <w:tabs>
          <w:tab w:val="left" w:pos="1020"/>
        </w:tabs>
        <w:spacing w:before="120" w:after="120" w:line="280" w:lineRule="atLeast"/>
        <w:rPr>
          <w:rFonts w:ascii="Arial" w:hAnsi="Arial" w:cs="Arial"/>
        </w:rPr>
      </w:pPr>
      <w:r w:rsidRPr="00013D02">
        <w:rPr>
          <w:rFonts w:ascii="Arial" w:hAnsi="Arial" w:cs="Arial"/>
        </w:rPr>
        <w:t xml:space="preserve">Support engineering </w:t>
      </w:r>
      <w:r w:rsidR="00FC1AF4">
        <w:rPr>
          <w:rFonts w:ascii="Arial" w:hAnsi="Arial" w:cs="Arial"/>
        </w:rPr>
        <w:t xml:space="preserve">and design </w:t>
      </w:r>
      <w:r w:rsidRPr="00013D02">
        <w:rPr>
          <w:rFonts w:ascii="Arial" w:hAnsi="Arial" w:cs="Arial"/>
        </w:rPr>
        <w:t>academics, with a particular focus on probationers, to provide effective and efficient teaching.</w:t>
      </w:r>
    </w:p>
    <w:p w:rsidR="00013D02" w:rsidRPr="00013D02" w:rsidRDefault="00013D02" w:rsidP="00013D02">
      <w:pPr>
        <w:pStyle w:val="ListParagraph"/>
        <w:numPr>
          <w:ilvl w:val="0"/>
          <w:numId w:val="49"/>
        </w:numPr>
        <w:tabs>
          <w:tab w:val="left" w:pos="1020"/>
        </w:tabs>
        <w:spacing w:before="120" w:after="120" w:line="280" w:lineRule="atLeast"/>
        <w:rPr>
          <w:rFonts w:ascii="Arial" w:hAnsi="Arial" w:cs="Arial"/>
        </w:rPr>
      </w:pPr>
      <w:r w:rsidRPr="00013D02">
        <w:rPr>
          <w:rFonts w:ascii="Arial" w:hAnsi="Arial" w:cs="Arial"/>
        </w:rPr>
        <w:t xml:space="preserve">Maintain our leading position in the delivery of high quality engineering </w:t>
      </w:r>
      <w:r w:rsidR="00FC1AF4">
        <w:rPr>
          <w:rFonts w:ascii="Arial" w:hAnsi="Arial" w:cs="Arial"/>
        </w:rPr>
        <w:t xml:space="preserve">and design </w:t>
      </w:r>
      <w:r w:rsidRPr="00013D02">
        <w:rPr>
          <w:rFonts w:ascii="Arial" w:hAnsi="Arial" w:cs="Arial"/>
        </w:rPr>
        <w:t>education by stimulating innovation and incubating new developments while ensuring the long term impact and sustainability of the resources created.</w:t>
      </w:r>
    </w:p>
    <w:p w:rsidR="00013D02" w:rsidRPr="00013D02" w:rsidRDefault="00013D02" w:rsidP="00013D02">
      <w:pPr>
        <w:pStyle w:val="ListParagraph"/>
        <w:numPr>
          <w:ilvl w:val="0"/>
          <w:numId w:val="49"/>
        </w:numPr>
        <w:tabs>
          <w:tab w:val="left" w:pos="1020"/>
        </w:tabs>
        <w:spacing w:before="120" w:after="120" w:line="280" w:lineRule="atLeast"/>
        <w:rPr>
          <w:rFonts w:ascii="Arial" w:hAnsi="Arial" w:cs="Arial"/>
        </w:rPr>
      </w:pPr>
      <w:r w:rsidRPr="00013D02">
        <w:rPr>
          <w:rFonts w:ascii="Arial" w:hAnsi="Arial" w:cs="Arial"/>
        </w:rPr>
        <w:t xml:space="preserve">Support engineering </w:t>
      </w:r>
      <w:r w:rsidR="00FC1AF4">
        <w:rPr>
          <w:rFonts w:ascii="Arial" w:hAnsi="Arial" w:cs="Arial"/>
        </w:rPr>
        <w:t xml:space="preserve">and design </w:t>
      </w:r>
      <w:r w:rsidRPr="00013D02">
        <w:rPr>
          <w:rFonts w:ascii="Arial" w:hAnsi="Arial" w:cs="Arial"/>
        </w:rPr>
        <w:t>students, with a particular focus on meeting the recruitment needs of industry, through provision of an excellent student learning experience, high employer engagement and quality teaching space.</w:t>
      </w:r>
    </w:p>
    <w:p w:rsidR="00013D02" w:rsidRPr="00013D02" w:rsidRDefault="00013D02" w:rsidP="00013D02">
      <w:pPr>
        <w:tabs>
          <w:tab w:val="left" w:pos="1020"/>
        </w:tabs>
        <w:spacing w:before="120" w:after="120" w:line="280" w:lineRule="atLeast"/>
        <w:rPr>
          <w:rFonts w:ascii="Arial" w:hAnsi="Arial" w:cs="Arial"/>
          <w:sz w:val="22"/>
          <w:szCs w:val="22"/>
        </w:rPr>
      </w:pPr>
      <w:r w:rsidRPr="00013D02">
        <w:rPr>
          <w:rFonts w:ascii="Arial" w:hAnsi="Arial" w:cs="Arial"/>
          <w:sz w:val="22"/>
          <w:szCs w:val="22"/>
        </w:rPr>
        <w:t xml:space="preserve">More detailed objectives can be viewed at our website </w:t>
      </w:r>
      <w:hyperlink r:id="rId9" w:history="1">
        <w:r w:rsidRPr="00013D02">
          <w:rPr>
            <w:rStyle w:val="Hyperlink"/>
            <w:rFonts w:ascii="Arial" w:hAnsi="Arial" w:cs="Arial"/>
            <w:sz w:val="22"/>
            <w:szCs w:val="22"/>
          </w:rPr>
          <w:t>http://cede.lboro.ac.uk/about.php</w:t>
        </w:r>
      </w:hyperlink>
    </w:p>
    <w:p w:rsidR="00013D02" w:rsidRPr="00013D02" w:rsidRDefault="00FC1AF4" w:rsidP="001C0898">
      <w:pPr>
        <w:tabs>
          <w:tab w:val="left" w:pos="1020"/>
        </w:tabs>
        <w:spacing w:before="120" w:after="12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core staff of the Centre are joined by a range of staff on externally-funded projects (e.g. from </w:t>
      </w:r>
      <w:r w:rsidR="00013D02" w:rsidRPr="00013D02">
        <w:rPr>
          <w:rFonts w:ascii="Arial" w:hAnsi="Arial" w:cs="Arial"/>
          <w:sz w:val="22"/>
          <w:szCs w:val="22"/>
        </w:rPr>
        <w:t>HEA, JISC and the HE</w:t>
      </w:r>
      <w:r>
        <w:rPr>
          <w:rFonts w:ascii="Arial" w:hAnsi="Arial" w:cs="Arial"/>
          <w:sz w:val="22"/>
          <w:szCs w:val="22"/>
        </w:rPr>
        <w:t>-</w:t>
      </w:r>
      <w:r w:rsidR="00013D02" w:rsidRPr="00013D02">
        <w:rPr>
          <w:rFonts w:ascii="Arial" w:hAnsi="Arial" w:cs="Arial"/>
          <w:sz w:val="22"/>
          <w:szCs w:val="22"/>
        </w:rPr>
        <w:t xml:space="preserve">STEM </w:t>
      </w:r>
      <w:proofErr w:type="spellStart"/>
      <w:r w:rsidR="00013D02" w:rsidRPr="00013D02"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013D02" w:rsidRPr="00013D02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Operational management comes from the Head, Melanie King, supported by </w:t>
      </w:r>
      <w:r w:rsidR="00013D02" w:rsidRPr="00013D02">
        <w:rPr>
          <w:rFonts w:ascii="Arial" w:hAnsi="Arial" w:cs="Arial"/>
          <w:sz w:val="22"/>
          <w:szCs w:val="22"/>
        </w:rPr>
        <w:t>Prof Steve Rothberg</w:t>
      </w:r>
      <w:r>
        <w:rPr>
          <w:rFonts w:ascii="Arial" w:hAnsi="Arial" w:cs="Arial"/>
          <w:sz w:val="22"/>
          <w:szCs w:val="22"/>
        </w:rPr>
        <w:t>,</w:t>
      </w:r>
      <w:r w:rsidR="00013D02" w:rsidRPr="00013D0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13D02" w:rsidRPr="00013D02">
        <w:rPr>
          <w:rFonts w:ascii="Arial" w:hAnsi="Arial" w:cs="Arial"/>
          <w:sz w:val="22"/>
          <w:szCs w:val="22"/>
        </w:rPr>
        <w:t>PVC</w:t>
      </w:r>
      <w:r>
        <w:rPr>
          <w:rFonts w:ascii="Arial" w:hAnsi="Arial" w:cs="Arial"/>
          <w:sz w:val="22"/>
          <w:szCs w:val="22"/>
        </w:rPr>
        <w:t>(</w:t>
      </w:r>
      <w:proofErr w:type="gramEnd"/>
      <w:r w:rsidR="00013D02" w:rsidRPr="00013D02"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 xml:space="preserve">, as academic lead. </w:t>
      </w:r>
      <w:r w:rsidR="00013D02" w:rsidRPr="00013D02">
        <w:rPr>
          <w:rFonts w:ascii="Arial" w:hAnsi="Arial" w:cs="Arial"/>
          <w:sz w:val="22"/>
          <w:szCs w:val="22"/>
        </w:rPr>
        <w:t xml:space="preserve"> Th</w:t>
      </w:r>
      <w:r w:rsidR="001C0898">
        <w:rPr>
          <w:rFonts w:ascii="Arial" w:hAnsi="Arial" w:cs="Arial"/>
          <w:sz w:val="22"/>
          <w:szCs w:val="22"/>
        </w:rPr>
        <w:t>e</w:t>
      </w:r>
      <w:r w:rsidR="00013D02" w:rsidRPr="00013D02">
        <w:rPr>
          <w:rFonts w:ascii="Arial" w:hAnsi="Arial" w:cs="Arial"/>
          <w:sz w:val="22"/>
          <w:szCs w:val="22"/>
        </w:rPr>
        <w:t xml:space="preserve"> table </w:t>
      </w:r>
      <w:r w:rsidR="001C0898">
        <w:rPr>
          <w:rFonts w:ascii="Arial" w:hAnsi="Arial" w:cs="Arial"/>
          <w:sz w:val="22"/>
          <w:szCs w:val="22"/>
        </w:rPr>
        <w:t xml:space="preserve">below sets out </w:t>
      </w:r>
      <w:r w:rsidR="00013D02" w:rsidRPr="00013D02">
        <w:rPr>
          <w:rFonts w:ascii="Arial" w:hAnsi="Arial" w:cs="Arial"/>
          <w:sz w:val="22"/>
          <w:szCs w:val="22"/>
        </w:rPr>
        <w:t>the Centre’s key stakeholders and indicates how it will interact with relevant parties.</w:t>
      </w:r>
    </w:p>
    <w:p w:rsidR="00013D02" w:rsidRPr="00013D02" w:rsidRDefault="00013D02" w:rsidP="00013D02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936"/>
        <w:gridCol w:w="4041"/>
      </w:tblGrid>
      <w:tr w:rsidR="00013D02" w:rsidRPr="00013D02">
        <w:tc>
          <w:tcPr>
            <w:tcW w:w="1226" w:type="pct"/>
          </w:tcPr>
          <w:p w:rsidR="00013D02" w:rsidRPr="00013D02" w:rsidRDefault="00013D02" w:rsidP="008855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3D02">
              <w:rPr>
                <w:rFonts w:ascii="Arial" w:hAnsi="Arial" w:cs="Arial"/>
                <w:b/>
                <w:sz w:val="22"/>
                <w:szCs w:val="22"/>
              </w:rPr>
              <w:t>Stakeholder</w:t>
            </w:r>
          </w:p>
        </w:tc>
        <w:tc>
          <w:tcPr>
            <w:tcW w:w="1588" w:type="pct"/>
          </w:tcPr>
          <w:p w:rsidR="00013D02" w:rsidRPr="00013D02" w:rsidRDefault="00013D02" w:rsidP="008855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3D02">
              <w:rPr>
                <w:rFonts w:ascii="Arial" w:hAnsi="Arial" w:cs="Arial"/>
                <w:b/>
                <w:sz w:val="22"/>
                <w:szCs w:val="22"/>
              </w:rPr>
              <w:t>Interest / stake</w:t>
            </w:r>
          </w:p>
        </w:tc>
        <w:tc>
          <w:tcPr>
            <w:tcW w:w="2186" w:type="pct"/>
          </w:tcPr>
          <w:p w:rsidR="00013D02" w:rsidRPr="00013D02" w:rsidRDefault="00013D02" w:rsidP="008855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3D02">
              <w:rPr>
                <w:rFonts w:ascii="Arial" w:hAnsi="Arial" w:cs="Arial"/>
                <w:b/>
                <w:sz w:val="22"/>
                <w:szCs w:val="22"/>
              </w:rPr>
              <w:t>Method of interaction</w:t>
            </w:r>
          </w:p>
        </w:tc>
      </w:tr>
      <w:tr w:rsidR="00013D02" w:rsidRPr="00013D02">
        <w:tc>
          <w:tcPr>
            <w:tcW w:w="1226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>Students</w:t>
            </w:r>
          </w:p>
        </w:tc>
        <w:tc>
          <w:tcPr>
            <w:tcW w:w="1588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>Student experience</w:t>
            </w:r>
          </w:p>
        </w:tc>
        <w:tc>
          <w:tcPr>
            <w:tcW w:w="2186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>VP Education sits on management board; student-led projects.</w:t>
            </w:r>
          </w:p>
        </w:tc>
      </w:tr>
      <w:tr w:rsidR="00013D02" w:rsidRPr="00013D02">
        <w:tc>
          <w:tcPr>
            <w:tcW w:w="1226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>Deans of 5 Schools</w:t>
            </w:r>
          </w:p>
        </w:tc>
        <w:tc>
          <w:tcPr>
            <w:tcW w:w="1588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 xml:space="preserve">Additional support; </w:t>
            </w:r>
            <w:proofErr w:type="spellStart"/>
            <w:r w:rsidRPr="00013D02">
              <w:rPr>
                <w:rFonts w:ascii="Arial" w:hAnsi="Arial" w:cs="Arial"/>
                <w:sz w:val="22"/>
                <w:szCs w:val="22"/>
              </w:rPr>
              <w:t>Loughborough’s</w:t>
            </w:r>
            <w:proofErr w:type="spellEnd"/>
            <w:r w:rsidRPr="00013D02">
              <w:rPr>
                <w:rFonts w:ascii="Arial" w:hAnsi="Arial" w:cs="Arial"/>
                <w:sz w:val="22"/>
                <w:szCs w:val="22"/>
              </w:rPr>
              <w:t xml:space="preserve"> reputation</w:t>
            </w:r>
          </w:p>
        </w:tc>
        <w:tc>
          <w:tcPr>
            <w:tcW w:w="2186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>Via Academic Lead and Head of Centre; representation on Management Board.</w:t>
            </w:r>
          </w:p>
        </w:tc>
      </w:tr>
      <w:tr w:rsidR="00013D02" w:rsidRPr="00013D02">
        <w:tc>
          <w:tcPr>
            <w:tcW w:w="1226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>Staff in 5 Schools</w:t>
            </w:r>
          </w:p>
        </w:tc>
        <w:tc>
          <w:tcPr>
            <w:tcW w:w="1588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>Additional support and providing stimulus for innovation; support for funding and rewards/awards.</w:t>
            </w:r>
          </w:p>
        </w:tc>
        <w:tc>
          <w:tcPr>
            <w:tcW w:w="2186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>Training, events, one-to-one support and advice, through ADT’s and representation at Management board.</w:t>
            </w:r>
          </w:p>
        </w:tc>
      </w:tr>
      <w:tr w:rsidR="00013D02" w:rsidRPr="00013D02">
        <w:tc>
          <w:tcPr>
            <w:tcW w:w="1226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>Teaching Centre</w:t>
            </w:r>
          </w:p>
        </w:tc>
        <w:tc>
          <w:tcPr>
            <w:tcW w:w="1588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>Alignment of Centre’s activities to University and quality enhancement.</w:t>
            </w:r>
          </w:p>
        </w:tc>
        <w:tc>
          <w:tcPr>
            <w:tcW w:w="2186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>Director of TC on Management board and regular meetings with the Head of Centre as well as between CEDE Head and Head of E-Learning.</w:t>
            </w:r>
          </w:p>
        </w:tc>
      </w:tr>
      <w:tr w:rsidR="00013D02" w:rsidRPr="00013D02">
        <w:tc>
          <w:tcPr>
            <w:tcW w:w="1226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>Careers and Employability Centre</w:t>
            </w:r>
            <w:r w:rsidR="001C0898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="001C0898">
              <w:rPr>
                <w:rFonts w:ascii="Arial" w:hAnsi="Arial" w:cs="Arial"/>
                <w:sz w:val="22"/>
                <w:szCs w:val="22"/>
              </w:rPr>
              <w:t>Glendo</w:t>
            </w:r>
            <w:r w:rsidRPr="00013D02">
              <w:rPr>
                <w:rFonts w:ascii="Arial" w:hAnsi="Arial" w:cs="Arial"/>
                <w:sz w:val="22"/>
                <w:szCs w:val="22"/>
              </w:rPr>
              <w:t>nbrook</w:t>
            </w:r>
            <w:proofErr w:type="spellEnd"/>
            <w:r w:rsidRPr="00013D02">
              <w:rPr>
                <w:rFonts w:ascii="Arial" w:hAnsi="Arial" w:cs="Arial"/>
                <w:sz w:val="22"/>
                <w:szCs w:val="22"/>
              </w:rPr>
              <w:t xml:space="preserve"> Centre; MEC</w:t>
            </w:r>
          </w:p>
        </w:tc>
        <w:tc>
          <w:tcPr>
            <w:tcW w:w="1588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>Enterprise and employability education and opportunities for students.</w:t>
            </w:r>
          </w:p>
        </w:tc>
        <w:tc>
          <w:tcPr>
            <w:tcW w:w="2186" w:type="pct"/>
          </w:tcPr>
          <w:p w:rsidR="00013D02" w:rsidRPr="00013D02" w:rsidRDefault="00013D02" w:rsidP="001C0898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>Collaborative projects; Management Board</w:t>
            </w:r>
            <w:r w:rsidR="001C0898">
              <w:rPr>
                <w:rFonts w:ascii="Arial" w:hAnsi="Arial" w:cs="Arial"/>
                <w:sz w:val="22"/>
                <w:szCs w:val="22"/>
              </w:rPr>
              <w:t xml:space="preserve"> members</w:t>
            </w:r>
            <w:r w:rsidRPr="00013D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13D02" w:rsidRPr="00013D02">
        <w:tc>
          <w:tcPr>
            <w:tcW w:w="1226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>IT Services</w:t>
            </w:r>
          </w:p>
        </w:tc>
        <w:tc>
          <w:tcPr>
            <w:tcW w:w="1588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>Learning technology originating from Centre that has potential to be embedded institutionally.</w:t>
            </w:r>
          </w:p>
        </w:tc>
        <w:tc>
          <w:tcPr>
            <w:tcW w:w="2186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>Method of working collaboratively drawn up and approved by SISG.  ITS representation on Management Board.  E-Learning advisory group also has overview via Head that sits on group.</w:t>
            </w:r>
          </w:p>
        </w:tc>
      </w:tr>
      <w:tr w:rsidR="00013D02" w:rsidRPr="00013D02">
        <w:tc>
          <w:tcPr>
            <w:tcW w:w="1226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>Employers / Industry</w:t>
            </w:r>
          </w:p>
        </w:tc>
        <w:tc>
          <w:tcPr>
            <w:tcW w:w="1588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>Employability of graduates; industry linked skills education.</w:t>
            </w:r>
          </w:p>
        </w:tc>
        <w:tc>
          <w:tcPr>
            <w:tcW w:w="2186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>Employers engaged in project work via Learning &amp; Teaching Co-</w:t>
            </w:r>
            <w:proofErr w:type="spellStart"/>
            <w:r w:rsidRPr="00013D02">
              <w:rPr>
                <w:rFonts w:ascii="Arial" w:hAnsi="Arial" w:cs="Arial"/>
                <w:sz w:val="22"/>
                <w:szCs w:val="22"/>
              </w:rPr>
              <w:t>ordinators</w:t>
            </w:r>
            <w:proofErr w:type="spellEnd"/>
            <w:r w:rsidRPr="00013D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13D02" w:rsidRPr="00013D02">
        <w:tc>
          <w:tcPr>
            <w:tcW w:w="1226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>Professional Bodies</w:t>
            </w:r>
          </w:p>
        </w:tc>
        <w:tc>
          <w:tcPr>
            <w:tcW w:w="1588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>National focus for Engineering Education</w:t>
            </w:r>
          </w:p>
        </w:tc>
        <w:tc>
          <w:tcPr>
            <w:tcW w:w="2186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 xml:space="preserve">Networking via the Associate Director and external events hosted at Loughborough. </w:t>
            </w:r>
          </w:p>
        </w:tc>
      </w:tr>
      <w:tr w:rsidR="00013D02" w:rsidRPr="00013D02">
        <w:tc>
          <w:tcPr>
            <w:tcW w:w="1226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>Higher Education Academy</w:t>
            </w:r>
          </w:p>
        </w:tc>
        <w:tc>
          <w:tcPr>
            <w:tcW w:w="1588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>Transition of the Engineering Subject Centre</w:t>
            </w:r>
          </w:p>
        </w:tc>
        <w:tc>
          <w:tcPr>
            <w:tcW w:w="2186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>The Engineering discipline lead at the HEA is seconded and works in the Centre for 1 day a week.  Transition activities funded until July 2012 with possibility of extension.</w:t>
            </w:r>
          </w:p>
        </w:tc>
      </w:tr>
      <w:tr w:rsidR="00013D02" w:rsidRPr="00013D02">
        <w:tc>
          <w:tcPr>
            <w:tcW w:w="1226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>Funding bodies (JISC, HE STEM)</w:t>
            </w:r>
          </w:p>
        </w:tc>
        <w:tc>
          <w:tcPr>
            <w:tcW w:w="1588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>Sustainability of currently funded work and previously funded work.</w:t>
            </w:r>
          </w:p>
        </w:tc>
        <w:tc>
          <w:tcPr>
            <w:tcW w:w="2186" w:type="pct"/>
          </w:tcPr>
          <w:p w:rsidR="00013D02" w:rsidRPr="00013D02" w:rsidRDefault="00013D02" w:rsidP="0088551D">
            <w:pPr>
              <w:rPr>
                <w:rFonts w:ascii="Arial" w:hAnsi="Arial" w:cs="Arial"/>
                <w:sz w:val="22"/>
                <w:szCs w:val="22"/>
              </w:rPr>
            </w:pPr>
            <w:r w:rsidRPr="00013D02">
              <w:rPr>
                <w:rFonts w:ascii="Arial" w:hAnsi="Arial" w:cs="Arial"/>
                <w:sz w:val="22"/>
                <w:szCs w:val="22"/>
              </w:rPr>
              <w:t xml:space="preserve">Still hosting Special Interest Group for </w:t>
            </w:r>
            <w:proofErr w:type="spellStart"/>
            <w:r w:rsidRPr="00013D02">
              <w:rPr>
                <w:rFonts w:ascii="Arial" w:hAnsi="Arial" w:cs="Arial"/>
                <w:sz w:val="22"/>
                <w:szCs w:val="22"/>
              </w:rPr>
              <w:t>WebPA</w:t>
            </w:r>
            <w:proofErr w:type="spellEnd"/>
            <w:r w:rsidRPr="00013D02">
              <w:rPr>
                <w:rFonts w:ascii="Arial" w:hAnsi="Arial" w:cs="Arial"/>
                <w:sz w:val="22"/>
                <w:szCs w:val="22"/>
              </w:rPr>
              <w:t xml:space="preserve"> and continue to work with the JISC via Head of Centre and several JISC </w:t>
            </w:r>
            <w:proofErr w:type="spellStart"/>
            <w:r w:rsidRPr="00013D02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013D02">
              <w:rPr>
                <w:rFonts w:ascii="Arial" w:hAnsi="Arial" w:cs="Arial"/>
                <w:sz w:val="22"/>
                <w:szCs w:val="22"/>
              </w:rPr>
              <w:t xml:space="preserve"> managers.</w:t>
            </w:r>
          </w:p>
        </w:tc>
      </w:tr>
    </w:tbl>
    <w:p w:rsidR="005A5EEA" w:rsidRPr="00013D02" w:rsidRDefault="005A5EEA" w:rsidP="007A4D9C">
      <w:pPr>
        <w:spacing w:after="120" w:line="264" w:lineRule="auto"/>
        <w:rPr>
          <w:rFonts w:ascii="Arial" w:hAnsi="Arial" w:cs="Arial"/>
          <w:sz w:val="22"/>
          <w:szCs w:val="22"/>
        </w:rPr>
      </w:pPr>
    </w:p>
    <w:sectPr w:rsidR="005A5EEA" w:rsidRPr="00013D02" w:rsidSect="002270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44" w:rsidRDefault="00DB2244">
      <w:r>
        <w:separator/>
      </w:r>
    </w:p>
  </w:endnote>
  <w:endnote w:type="continuationSeparator" w:id="0">
    <w:p w:rsidR="00DB2244" w:rsidRDefault="00DB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16" w:rsidRDefault="00C277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3766"/>
      <w:docPartObj>
        <w:docPartGallery w:val="Page Numbers (Bottom of Page)"/>
        <w:docPartUnique/>
      </w:docPartObj>
    </w:sdtPr>
    <w:sdtEndPr/>
    <w:sdtContent>
      <w:p w:rsidR="00544A05" w:rsidRDefault="00A75A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C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4A05" w:rsidRDefault="00544A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16" w:rsidRDefault="00C27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44" w:rsidRDefault="00DB2244">
      <w:r>
        <w:separator/>
      </w:r>
    </w:p>
  </w:footnote>
  <w:footnote w:type="continuationSeparator" w:id="0">
    <w:p w:rsidR="00DB2244" w:rsidRDefault="00DB2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16" w:rsidRDefault="00C27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A6" w:rsidRPr="00E011EE" w:rsidRDefault="007C46A6">
    <w:pPr>
      <w:pStyle w:val="Header"/>
      <w:rPr>
        <w:b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A8" w:rsidRDefault="00753BA8" w:rsidP="00753BA8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SEN11-P</w:t>
    </w:r>
    <w:r w:rsidR="00C27716">
      <w:rPr>
        <w:rFonts w:ascii="Arial" w:hAnsi="Arial" w:cs="Arial"/>
        <w:sz w:val="22"/>
        <w:szCs w:val="22"/>
      </w:rPr>
      <w:t>115</w:t>
    </w:r>
  </w:p>
  <w:p w:rsidR="00753BA8" w:rsidRPr="00753BA8" w:rsidRDefault="00753BA8" w:rsidP="00753BA8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16 November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8F5"/>
    <w:multiLevelType w:val="hybridMultilevel"/>
    <w:tmpl w:val="89120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F60C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F94527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7D7C7A"/>
    <w:multiLevelType w:val="hybridMultilevel"/>
    <w:tmpl w:val="57303F82"/>
    <w:lvl w:ilvl="0" w:tplc="9D508450">
      <w:start w:val="1"/>
      <w:numFmt w:val="bullet"/>
      <w:lvlText w:val="۰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11E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9C410D"/>
    <w:multiLevelType w:val="singleLevel"/>
    <w:tmpl w:val="9FBC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>
    <w:nsid w:val="0BBE39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1E7B09"/>
    <w:multiLevelType w:val="hybridMultilevel"/>
    <w:tmpl w:val="A4DC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843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934E0E"/>
    <w:multiLevelType w:val="singleLevel"/>
    <w:tmpl w:val="86EEC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10">
    <w:nsid w:val="142B76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5749B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87F7249"/>
    <w:multiLevelType w:val="hybridMultilevel"/>
    <w:tmpl w:val="398C3F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F263E4"/>
    <w:multiLevelType w:val="hybridMultilevel"/>
    <w:tmpl w:val="A43AF09A"/>
    <w:lvl w:ilvl="0" w:tplc="3BCA35CE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B22136"/>
    <w:multiLevelType w:val="hybridMultilevel"/>
    <w:tmpl w:val="808E2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167C2F"/>
    <w:multiLevelType w:val="hybridMultilevel"/>
    <w:tmpl w:val="B650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56762A"/>
    <w:multiLevelType w:val="multilevel"/>
    <w:tmpl w:val="DFE6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FF5A6A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1CB232F"/>
    <w:multiLevelType w:val="singleLevel"/>
    <w:tmpl w:val="9AC28C62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2CDE6A58"/>
    <w:multiLevelType w:val="hybridMultilevel"/>
    <w:tmpl w:val="1234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16A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E0C49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FC30F91"/>
    <w:multiLevelType w:val="hybridMultilevel"/>
    <w:tmpl w:val="AEA47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0293EEB"/>
    <w:multiLevelType w:val="singleLevel"/>
    <w:tmpl w:val="86EEC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24">
    <w:nsid w:val="30375F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B16788A"/>
    <w:multiLevelType w:val="singleLevel"/>
    <w:tmpl w:val="5B98635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3F862F05"/>
    <w:multiLevelType w:val="hybridMultilevel"/>
    <w:tmpl w:val="2780A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9A26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25E49F3"/>
    <w:multiLevelType w:val="multilevel"/>
    <w:tmpl w:val="4EF6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2820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4C16080"/>
    <w:multiLevelType w:val="hybridMultilevel"/>
    <w:tmpl w:val="73DE990C"/>
    <w:lvl w:ilvl="0" w:tplc="3926B7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5DF2C67"/>
    <w:multiLevelType w:val="hybridMultilevel"/>
    <w:tmpl w:val="0B228AA4"/>
    <w:lvl w:ilvl="0" w:tplc="ACD2A7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FD0D5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082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341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AAC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A2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A61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A001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1EEF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FE5E3E"/>
    <w:multiLevelType w:val="hybridMultilevel"/>
    <w:tmpl w:val="73C6E93A"/>
    <w:lvl w:ilvl="0" w:tplc="3926B7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AF2E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E041B51"/>
    <w:multiLevelType w:val="singleLevel"/>
    <w:tmpl w:val="4448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5F0E6B28"/>
    <w:multiLevelType w:val="hybridMultilevel"/>
    <w:tmpl w:val="3728493C"/>
    <w:lvl w:ilvl="0" w:tplc="B706F4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0184BB8"/>
    <w:multiLevelType w:val="hybridMultilevel"/>
    <w:tmpl w:val="4B8CB2EC"/>
    <w:lvl w:ilvl="0" w:tplc="9D508450">
      <w:start w:val="1"/>
      <w:numFmt w:val="bullet"/>
      <w:lvlText w:val="۰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0921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9B043AE"/>
    <w:multiLevelType w:val="hybridMultilevel"/>
    <w:tmpl w:val="692E7E46"/>
    <w:lvl w:ilvl="0" w:tplc="B706F4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CA125F6"/>
    <w:multiLevelType w:val="singleLevel"/>
    <w:tmpl w:val="244E3C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>
    <w:nsid w:val="71CE47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7430488"/>
    <w:multiLevelType w:val="hybridMultilevel"/>
    <w:tmpl w:val="E3B2B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EE2B5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8A93FE5"/>
    <w:multiLevelType w:val="hybridMultilevel"/>
    <w:tmpl w:val="CA5CEA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23044D"/>
    <w:multiLevelType w:val="hybridMultilevel"/>
    <w:tmpl w:val="23DC38BE"/>
    <w:lvl w:ilvl="0" w:tplc="350EA842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473459"/>
    <w:multiLevelType w:val="hybridMultilevel"/>
    <w:tmpl w:val="E2BCF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A54A41"/>
    <w:multiLevelType w:val="hybridMultilevel"/>
    <w:tmpl w:val="C728B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4"/>
  </w:num>
  <w:num w:numId="3">
    <w:abstractNumId w:val="37"/>
  </w:num>
  <w:num w:numId="4">
    <w:abstractNumId w:val="42"/>
  </w:num>
  <w:num w:numId="5">
    <w:abstractNumId w:val="21"/>
  </w:num>
  <w:num w:numId="6">
    <w:abstractNumId w:val="39"/>
  </w:num>
  <w:num w:numId="7">
    <w:abstractNumId w:val="2"/>
  </w:num>
  <w:num w:numId="8">
    <w:abstractNumId w:val="17"/>
  </w:num>
  <w:num w:numId="9">
    <w:abstractNumId w:val="34"/>
  </w:num>
  <w:num w:numId="10">
    <w:abstractNumId w:val="33"/>
  </w:num>
  <w:num w:numId="11">
    <w:abstractNumId w:val="8"/>
  </w:num>
  <w:num w:numId="12">
    <w:abstractNumId w:val="29"/>
  </w:num>
  <w:num w:numId="13">
    <w:abstractNumId w:val="10"/>
  </w:num>
  <w:num w:numId="14">
    <w:abstractNumId w:val="40"/>
  </w:num>
  <w:num w:numId="15">
    <w:abstractNumId w:val="6"/>
  </w:num>
  <w:num w:numId="16">
    <w:abstractNumId w:val="20"/>
  </w:num>
  <w:num w:numId="17">
    <w:abstractNumId w:val="5"/>
  </w:num>
  <w:num w:numId="18">
    <w:abstractNumId w:val="25"/>
  </w:num>
  <w:num w:numId="19">
    <w:abstractNumId w:val="9"/>
  </w:num>
  <w:num w:numId="20">
    <w:abstractNumId w:val="18"/>
  </w:num>
  <w:num w:numId="21">
    <w:abstractNumId w:val="23"/>
  </w:num>
  <w:num w:numId="22">
    <w:abstractNumId w:val="4"/>
  </w:num>
  <w:num w:numId="23">
    <w:abstractNumId w:val="16"/>
  </w:num>
  <w:num w:numId="24">
    <w:abstractNumId w:val="27"/>
  </w:num>
  <w:num w:numId="25">
    <w:abstractNumId w:val="11"/>
  </w:num>
  <w:num w:numId="26">
    <w:abstractNumId w:val="28"/>
  </w:num>
  <w:num w:numId="27">
    <w:abstractNumId w:val="45"/>
  </w:num>
  <w:num w:numId="28">
    <w:abstractNumId w:val="1"/>
  </w:num>
  <w:num w:numId="29">
    <w:abstractNumId w:val="43"/>
  </w:num>
  <w:num w:numId="30">
    <w:abstractNumId w:val="44"/>
  </w:num>
  <w:num w:numId="31">
    <w:abstractNumId w:val="35"/>
  </w:num>
  <w:num w:numId="32">
    <w:abstractNumId w:val="38"/>
  </w:num>
  <w:num w:numId="33">
    <w:abstractNumId w:val="30"/>
  </w:num>
  <w:num w:numId="34">
    <w:abstractNumId w:val="41"/>
  </w:num>
  <w:num w:numId="35">
    <w:abstractNumId w:val="26"/>
  </w:num>
  <w:num w:numId="36">
    <w:abstractNumId w:val="3"/>
  </w:num>
  <w:num w:numId="37">
    <w:abstractNumId w:val="36"/>
  </w:num>
  <w:num w:numId="38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32"/>
  </w:num>
  <w:num w:numId="42">
    <w:abstractNumId w:val="12"/>
  </w:num>
  <w:num w:numId="43">
    <w:abstractNumId w:val="0"/>
  </w:num>
  <w:num w:numId="44">
    <w:abstractNumId w:val="22"/>
  </w:num>
  <w:num w:numId="45">
    <w:abstractNumId w:val="19"/>
  </w:num>
  <w:num w:numId="46">
    <w:abstractNumId w:val="14"/>
  </w:num>
  <w:num w:numId="47">
    <w:abstractNumId w:val="46"/>
  </w:num>
  <w:num w:numId="48">
    <w:abstractNumId w:val="1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A2"/>
    <w:rsid w:val="00013D02"/>
    <w:rsid w:val="00017D7D"/>
    <w:rsid w:val="00044BFA"/>
    <w:rsid w:val="00062688"/>
    <w:rsid w:val="00092C4C"/>
    <w:rsid w:val="000D7E07"/>
    <w:rsid w:val="0011349C"/>
    <w:rsid w:val="00116B73"/>
    <w:rsid w:val="00117514"/>
    <w:rsid w:val="001431EB"/>
    <w:rsid w:val="001470C3"/>
    <w:rsid w:val="00161462"/>
    <w:rsid w:val="0016570B"/>
    <w:rsid w:val="0017132F"/>
    <w:rsid w:val="00190B90"/>
    <w:rsid w:val="001A60DE"/>
    <w:rsid w:val="001C0898"/>
    <w:rsid w:val="001D2BE7"/>
    <w:rsid w:val="001D3A83"/>
    <w:rsid w:val="001F2B55"/>
    <w:rsid w:val="0020423C"/>
    <w:rsid w:val="00204DB9"/>
    <w:rsid w:val="00223D7D"/>
    <w:rsid w:val="002270D4"/>
    <w:rsid w:val="00235A3D"/>
    <w:rsid w:val="002437E8"/>
    <w:rsid w:val="00252DE0"/>
    <w:rsid w:val="00273ED6"/>
    <w:rsid w:val="002875F5"/>
    <w:rsid w:val="0029249E"/>
    <w:rsid w:val="002D6DB2"/>
    <w:rsid w:val="002E171D"/>
    <w:rsid w:val="002F7E70"/>
    <w:rsid w:val="00351C0F"/>
    <w:rsid w:val="00356A8C"/>
    <w:rsid w:val="00373AC0"/>
    <w:rsid w:val="00391D29"/>
    <w:rsid w:val="003F1058"/>
    <w:rsid w:val="00424D12"/>
    <w:rsid w:val="00460F4A"/>
    <w:rsid w:val="00462E18"/>
    <w:rsid w:val="004C54C9"/>
    <w:rsid w:val="004C761D"/>
    <w:rsid w:val="004E736F"/>
    <w:rsid w:val="004F5D2D"/>
    <w:rsid w:val="00521BF9"/>
    <w:rsid w:val="00544A05"/>
    <w:rsid w:val="00570914"/>
    <w:rsid w:val="005A5EEA"/>
    <w:rsid w:val="005B62A0"/>
    <w:rsid w:val="005E39B8"/>
    <w:rsid w:val="005E3B72"/>
    <w:rsid w:val="005E7976"/>
    <w:rsid w:val="00617FD2"/>
    <w:rsid w:val="00633802"/>
    <w:rsid w:val="006363E4"/>
    <w:rsid w:val="006459C4"/>
    <w:rsid w:val="0065472A"/>
    <w:rsid w:val="006611AD"/>
    <w:rsid w:val="006937BA"/>
    <w:rsid w:val="00694F25"/>
    <w:rsid w:val="006A7443"/>
    <w:rsid w:val="006B3B76"/>
    <w:rsid w:val="006D0098"/>
    <w:rsid w:val="006D4D19"/>
    <w:rsid w:val="006F28AA"/>
    <w:rsid w:val="00700832"/>
    <w:rsid w:val="0071343B"/>
    <w:rsid w:val="00722662"/>
    <w:rsid w:val="00752469"/>
    <w:rsid w:val="00753BA8"/>
    <w:rsid w:val="00783582"/>
    <w:rsid w:val="00784125"/>
    <w:rsid w:val="00797A84"/>
    <w:rsid w:val="007A4D9C"/>
    <w:rsid w:val="007B0993"/>
    <w:rsid w:val="007C46A6"/>
    <w:rsid w:val="007D064E"/>
    <w:rsid w:val="007D3AE8"/>
    <w:rsid w:val="007E3D8F"/>
    <w:rsid w:val="00864E69"/>
    <w:rsid w:val="00886D6B"/>
    <w:rsid w:val="008946EE"/>
    <w:rsid w:val="008970CE"/>
    <w:rsid w:val="008C5CBF"/>
    <w:rsid w:val="008E21FE"/>
    <w:rsid w:val="0094409C"/>
    <w:rsid w:val="00957634"/>
    <w:rsid w:val="009678EE"/>
    <w:rsid w:val="0099261D"/>
    <w:rsid w:val="009C1FE2"/>
    <w:rsid w:val="009C63FE"/>
    <w:rsid w:val="009D47AB"/>
    <w:rsid w:val="00A11AD4"/>
    <w:rsid w:val="00A1637F"/>
    <w:rsid w:val="00A24353"/>
    <w:rsid w:val="00A45806"/>
    <w:rsid w:val="00A679CD"/>
    <w:rsid w:val="00A75AF9"/>
    <w:rsid w:val="00A82AFE"/>
    <w:rsid w:val="00A844A0"/>
    <w:rsid w:val="00A86EB7"/>
    <w:rsid w:val="00AA00CD"/>
    <w:rsid w:val="00AD23C6"/>
    <w:rsid w:val="00AF0707"/>
    <w:rsid w:val="00B0339E"/>
    <w:rsid w:val="00B60B53"/>
    <w:rsid w:val="00B85364"/>
    <w:rsid w:val="00BA37DB"/>
    <w:rsid w:val="00BB4968"/>
    <w:rsid w:val="00BC6C24"/>
    <w:rsid w:val="00BC7A20"/>
    <w:rsid w:val="00C14D75"/>
    <w:rsid w:val="00C27716"/>
    <w:rsid w:val="00C3110A"/>
    <w:rsid w:val="00C67ECC"/>
    <w:rsid w:val="00C760F1"/>
    <w:rsid w:val="00D1654C"/>
    <w:rsid w:val="00D20678"/>
    <w:rsid w:val="00D2461E"/>
    <w:rsid w:val="00D42F99"/>
    <w:rsid w:val="00D46495"/>
    <w:rsid w:val="00D47FB3"/>
    <w:rsid w:val="00D538E2"/>
    <w:rsid w:val="00D573BF"/>
    <w:rsid w:val="00DA48ED"/>
    <w:rsid w:val="00DB2244"/>
    <w:rsid w:val="00DE1E5F"/>
    <w:rsid w:val="00DE5586"/>
    <w:rsid w:val="00DF121A"/>
    <w:rsid w:val="00E011EE"/>
    <w:rsid w:val="00E1080D"/>
    <w:rsid w:val="00E14298"/>
    <w:rsid w:val="00E321EA"/>
    <w:rsid w:val="00E575C4"/>
    <w:rsid w:val="00EB1FDF"/>
    <w:rsid w:val="00EB2596"/>
    <w:rsid w:val="00ED2168"/>
    <w:rsid w:val="00ED2A71"/>
    <w:rsid w:val="00F0681A"/>
    <w:rsid w:val="00F14563"/>
    <w:rsid w:val="00F44D4E"/>
    <w:rsid w:val="00F672BF"/>
    <w:rsid w:val="00F84D0E"/>
    <w:rsid w:val="00FA4750"/>
    <w:rsid w:val="00FB4910"/>
    <w:rsid w:val="00FC1AF4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7A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D47AB"/>
    <w:pPr>
      <w:keepNext/>
      <w:outlineLvl w:val="0"/>
    </w:pPr>
    <w:rPr>
      <w:b/>
      <w:bCs/>
      <w:sz w:val="28"/>
      <w:lang w:val="en-GB"/>
    </w:rPr>
  </w:style>
  <w:style w:type="paragraph" w:styleId="Heading2">
    <w:name w:val="heading 2"/>
    <w:basedOn w:val="Normal"/>
    <w:next w:val="Normal"/>
    <w:qFormat/>
    <w:rsid w:val="009D47AB"/>
    <w:pPr>
      <w:keepNext/>
      <w:spacing w:before="120"/>
      <w:ind w:right="26"/>
      <w:jc w:val="both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9D47AB"/>
    <w:pPr>
      <w:keepNext/>
      <w:ind w:left="1440" w:hanging="1440"/>
      <w:outlineLvl w:val="2"/>
    </w:pPr>
    <w:rPr>
      <w:rFonts w:ascii="Arial" w:hAnsi="Arial" w:cs="Arial"/>
      <w:b/>
      <w:sz w:val="28"/>
      <w:lang w:val="en-GB"/>
    </w:rPr>
  </w:style>
  <w:style w:type="paragraph" w:styleId="Heading4">
    <w:name w:val="heading 4"/>
    <w:basedOn w:val="Normal"/>
    <w:next w:val="Normal"/>
    <w:qFormat/>
    <w:rsid w:val="009D47AB"/>
    <w:pPr>
      <w:keepNext/>
      <w:ind w:left="2160" w:hanging="21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ED21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D47AB"/>
    <w:pPr>
      <w:tabs>
        <w:tab w:val="left" w:pos="720"/>
        <w:tab w:val="left" w:pos="8460"/>
      </w:tabs>
      <w:ind w:left="360"/>
    </w:pPr>
    <w:rPr>
      <w:lang w:val="en-GB"/>
    </w:rPr>
  </w:style>
  <w:style w:type="paragraph" w:styleId="BodyText">
    <w:name w:val="Body Text"/>
    <w:basedOn w:val="Normal"/>
    <w:rsid w:val="009D47AB"/>
    <w:rPr>
      <w:color w:val="000000"/>
      <w:lang w:val="en-GB"/>
    </w:rPr>
  </w:style>
  <w:style w:type="paragraph" w:customStyle="1" w:styleId="HTML">
    <w:name w:val="HTML"/>
    <w:aliases w:val="ht"/>
    <w:basedOn w:val="Normal"/>
    <w:rsid w:val="009D47AB"/>
    <w:pPr>
      <w:spacing w:after="220" w:line="260" w:lineRule="atLeast"/>
      <w:ind w:right="640"/>
    </w:pPr>
    <w:rPr>
      <w:rFonts w:ascii="Times" w:hAnsi="Times"/>
      <w:vanish/>
    </w:rPr>
  </w:style>
  <w:style w:type="paragraph" w:styleId="Header">
    <w:name w:val="header"/>
    <w:basedOn w:val="Normal"/>
    <w:rsid w:val="009D47AB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Title">
    <w:name w:val="Title"/>
    <w:basedOn w:val="Normal"/>
    <w:qFormat/>
    <w:rsid w:val="009D47AB"/>
    <w:pPr>
      <w:jc w:val="center"/>
    </w:pPr>
    <w:rPr>
      <w:rFonts w:ascii="Arial" w:hAnsi="Arial" w:cs="Arial"/>
      <w:b/>
      <w:bCs/>
      <w:lang w:val="en-GB"/>
    </w:rPr>
  </w:style>
  <w:style w:type="paragraph" w:styleId="Subtitle">
    <w:name w:val="Subtitle"/>
    <w:basedOn w:val="Normal"/>
    <w:qFormat/>
    <w:rsid w:val="009D47AB"/>
    <w:pPr>
      <w:jc w:val="center"/>
    </w:pPr>
    <w:rPr>
      <w:rFonts w:ascii="Arial" w:hAnsi="Arial" w:cs="Arial"/>
      <w:b/>
      <w:bCs/>
      <w:sz w:val="28"/>
      <w:lang w:val="en-GB"/>
    </w:rPr>
  </w:style>
  <w:style w:type="paragraph" w:styleId="BodyText2">
    <w:name w:val="Body Text 2"/>
    <w:basedOn w:val="Normal"/>
    <w:rsid w:val="009D47AB"/>
    <w:rPr>
      <w:rFonts w:ascii="Arial" w:hAnsi="Arial"/>
      <w:sz w:val="22"/>
      <w:szCs w:val="22"/>
    </w:rPr>
  </w:style>
  <w:style w:type="paragraph" w:styleId="BodyText3">
    <w:name w:val="Body Text 3"/>
    <w:basedOn w:val="Normal"/>
    <w:rsid w:val="00ED2168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9C1F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011EE"/>
    <w:pPr>
      <w:tabs>
        <w:tab w:val="center" w:pos="4153"/>
        <w:tab w:val="right" w:pos="8306"/>
      </w:tabs>
    </w:pPr>
  </w:style>
  <w:style w:type="paragraph" w:customStyle="1" w:styleId="H3">
    <w:name w:val="H3"/>
    <w:basedOn w:val="Normal"/>
    <w:next w:val="Normal"/>
    <w:rsid w:val="00886D6B"/>
    <w:pPr>
      <w:keepNext/>
      <w:widowControl w:val="0"/>
      <w:spacing w:before="100" w:after="100"/>
      <w:outlineLvl w:val="3"/>
    </w:pPr>
    <w:rPr>
      <w:b/>
      <w:snapToGrid w:val="0"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44A0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844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13D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7A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D47AB"/>
    <w:pPr>
      <w:keepNext/>
      <w:outlineLvl w:val="0"/>
    </w:pPr>
    <w:rPr>
      <w:b/>
      <w:bCs/>
      <w:sz w:val="28"/>
      <w:lang w:val="en-GB"/>
    </w:rPr>
  </w:style>
  <w:style w:type="paragraph" w:styleId="Heading2">
    <w:name w:val="heading 2"/>
    <w:basedOn w:val="Normal"/>
    <w:next w:val="Normal"/>
    <w:qFormat/>
    <w:rsid w:val="009D47AB"/>
    <w:pPr>
      <w:keepNext/>
      <w:spacing w:before="120"/>
      <w:ind w:right="26"/>
      <w:jc w:val="both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9D47AB"/>
    <w:pPr>
      <w:keepNext/>
      <w:ind w:left="1440" w:hanging="1440"/>
      <w:outlineLvl w:val="2"/>
    </w:pPr>
    <w:rPr>
      <w:rFonts w:ascii="Arial" w:hAnsi="Arial" w:cs="Arial"/>
      <w:b/>
      <w:sz w:val="28"/>
      <w:lang w:val="en-GB"/>
    </w:rPr>
  </w:style>
  <w:style w:type="paragraph" w:styleId="Heading4">
    <w:name w:val="heading 4"/>
    <w:basedOn w:val="Normal"/>
    <w:next w:val="Normal"/>
    <w:qFormat/>
    <w:rsid w:val="009D47AB"/>
    <w:pPr>
      <w:keepNext/>
      <w:ind w:left="2160" w:hanging="21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ED21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D47AB"/>
    <w:pPr>
      <w:tabs>
        <w:tab w:val="left" w:pos="720"/>
        <w:tab w:val="left" w:pos="8460"/>
      </w:tabs>
      <w:ind w:left="360"/>
    </w:pPr>
    <w:rPr>
      <w:lang w:val="en-GB"/>
    </w:rPr>
  </w:style>
  <w:style w:type="paragraph" w:styleId="BodyText">
    <w:name w:val="Body Text"/>
    <w:basedOn w:val="Normal"/>
    <w:rsid w:val="009D47AB"/>
    <w:rPr>
      <w:color w:val="000000"/>
      <w:lang w:val="en-GB"/>
    </w:rPr>
  </w:style>
  <w:style w:type="paragraph" w:customStyle="1" w:styleId="HTML">
    <w:name w:val="HTML"/>
    <w:aliases w:val="ht"/>
    <w:basedOn w:val="Normal"/>
    <w:rsid w:val="009D47AB"/>
    <w:pPr>
      <w:spacing w:after="220" w:line="260" w:lineRule="atLeast"/>
      <w:ind w:right="640"/>
    </w:pPr>
    <w:rPr>
      <w:rFonts w:ascii="Times" w:hAnsi="Times"/>
      <w:vanish/>
    </w:rPr>
  </w:style>
  <w:style w:type="paragraph" w:styleId="Header">
    <w:name w:val="header"/>
    <w:basedOn w:val="Normal"/>
    <w:rsid w:val="009D47AB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Title">
    <w:name w:val="Title"/>
    <w:basedOn w:val="Normal"/>
    <w:qFormat/>
    <w:rsid w:val="009D47AB"/>
    <w:pPr>
      <w:jc w:val="center"/>
    </w:pPr>
    <w:rPr>
      <w:rFonts w:ascii="Arial" w:hAnsi="Arial" w:cs="Arial"/>
      <w:b/>
      <w:bCs/>
      <w:lang w:val="en-GB"/>
    </w:rPr>
  </w:style>
  <w:style w:type="paragraph" w:styleId="Subtitle">
    <w:name w:val="Subtitle"/>
    <w:basedOn w:val="Normal"/>
    <w:qFormat/>
    <w:rsid w:val="009D47AB"/>
    <w:pPr>
      <w:jc w:val="center"/>
    </w:pPr>
    <w:rPr>
      <w:rFonts w:ascii="Arial" w:hAnsi="Arial" w:cs="Arial"/>
      <w:b/>
      <w:bCs/>
      <w:sz w:val="28"/>
      <w:lang w:val="en-GB"/>
    </w:rPr>
  </w:style>
  <w:style w:type="paragraph" w:styleId="BodyText2">
    <w:name w:val="Body Text 2"/>
    <w:basedOn w:val="Normal"/>
    <w:rsid w:val="009D47AB"/>
    <w:rPr>
      <w:rFonts w:ascii="Arial" w:hAnsi="Arial"/>
      <w:sz w:val="22"/>
      <w:szCs w:val="22"/>
    </w:rPr>
  </w:style>
  <w:style w:type="paragraph" w:styleId="BodyText3">
    <w:name w:val="Body Text 3"/>
    <w:basedOn w:val="Normal"/>
    <w:rsid w:val="00ED2168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9C1F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011EE"/>
    <w:pPr>
      <w:tabs>
        <w:tab w:val="center" w:pos="4153"/>
        <w:tab w:val="right" w:pos="8306"/>
      </w:tabs>
    </w:pPr>
  </w:style>
  <w:style w:type="paragraph" w:customStyle="1" w:styleId="H3">
    <w:name w:val="H3"/>
    <w:basedOn w:val="Normal"/>
    <w:next w:val="Normal"/>
    <w:rsid w:val="00886D6B"/>
    <w:pPr>
      <w:keepNext/>
      <w:widowControl w:val="0"/>
      <w:spacing w:before="100" w:after="100"/>
      <w:outlineLvl w:val="3"/>
    </w:pPr>
    <w:rPr>
      <w:b/>
      <w:snapToGrid w:val="0"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44A0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844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13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ede.lboro.ac.uk/about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Loughborough Universtity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lee barrett</dc:creator>
  <cp:lastModifiedBy>Staff/Research Student</cp:lastModifiedBy>
  <cp:revision>2</cp:revision>
  <cp:lastPrinted>2011-10-06T16:29:00Z</cp:lastPrinted>
  <dcterms:created xsi:type="dcterms:W3CDTF">2011-11-08T17:24:00Z</dcterms:created>
  <dcterms:modified xsi:type="dcterms:W3CDTF">2011-11-08T17:24:00Z</dcterms:modified>
</cp:coreProperties>
</file>