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C7" w:rsidRPr="00557E10" w:rsidRDefault="003A5C8B">
      <w:pPr>
        <w:rPr>
          <w:rFonts w:ascii="Arial" w:hAnsi="Arial" w:cs="Arial"/>
          <w:b/>
          <w:sz w:val="24"/>
        </w:rPr>
      </w:pPr>
      <w:r>
        <w:rPr>
          <w:rFonts w:ascii="Arial" w:hAnsi="Arial" w:cs="Arial"/>
          <w:b/>
          <w:sz w:val="24"/>
        </w:rPr>
        <w:t>Student Module Feedback Questionnaire Update for LTC December 2012</w:t>
      </w:r>
    </w:p>
    <w:p w:rsidR="001F35EA" w:rsidRPr="00851715" w:rsidRDefault="001F35EA" w:rsidP="003615D3">
      <w:pPr>
        <w:rPr>
          <w:rFonts w:ascii="Arial" w:hAnsi="Arial" w:cs="Arial"/>
          <w:szCs w:val="22"/>
        </w:rPr>
      </w:pPr>
    </w:p>
    <w:p w:rsidR="00851715" w:rsidRPr="00851715" w:rsidRDefault="003A5C8B" w:rsidP="00851715">
      <w:pPr>
        <w:spacing w:before="105" w:after="45" w:line="240" w:lineRule="atLeast"/>
        <w:rPr>
          <w:rFonts w:ascii="Arial" w:hAnsi="Arial" w:cs="Arial"/>
          <w:b/>
          <w:szCs w:val="22"/>
        </w:rPr>
      </w:pPr>
      <w:r>
        <w:rPr>
          <w:rFonts w:ascii="Arial" w:hAnsi="Arial" w:cs="Arial"/>
          <w:b/>
          <w:szCs w:val="22"/>
        </w:rPr>
        <w:t>1.</w:t>
      </w:r>
      <w:r>
        <w:rPr>
          <w:rFonts w:ascii="Arial" w:hAnsi="Arial" w:cs="Arial"/>
          <w:b/>
          <w:szCs w:val="22"/>
        </w:rPr>
        <w:tab/>
        <w:t>Introduction</w:t>
      </w:r>
    </w:p>
    <w:p w:rsidR="00851715" w:rsidRDefault="003A5C8B" w:rsidP="003A5C8B">
      <w:pPr>
        <w:spacing w:before="105" w:after="45" w:line="240" w:lineRule="atLeast"/>
        <w:rPr>
          <w:rFonts w:ascii="Arial" w:hAnsi="Arial" w:cs="Arial"/>
          <w:szCs w:val="22"/>
        </w:rPr>
      </w:pPr>
      <w:r>
        <w:rPr>
          <w:rFonts w:ascii="Arial" w:hAnsi="Arial" w:cs="Arial"/>
          <w:szCs w:val="22"/>
        </w:rPr>
        <w:t xml:space="preserve">An updated ‘Appendix 13’ </w:t>
      </w:r>
      <w:r w:rsidR="006705DF">
        <w:rPr>
          <w:rFonts w:ascii="Arial" w:hAnsi="Arial" w:cs="Arial"/>
          <w:szCs w:val="22"/>
        </w:rPr>
        <w:t xml:space="preserve">to the Academic Quality Procedures Handbook – </w:t>
      </w:r>
      <w:r>
        <w:rPr>
          <w:rFonts w:ascii="Arial" w:hAnsi="Arial" w:cs="Arial"/>
          <w:szCs w:val="22"/>
        </w:rPr>
        <w:t>Code of Practice for Student</w:t>
      </w:r>
      <w:r w:rsidR="006705DF">
        <w:rPr>
          <w:rFonts w:ascii="Arial" w:hAnsi="Arial" w:cs="Arial"/>
          <w:szCs w:val="22"/>
        </w:rPr>
        <w:t xml:space="preserve"> Module Feedback Questionnaires – </w:t>
      </w:r>
      <w:r>
        <w:rPr>
          <w:rFonts w:ascii="Arial" w:hAnsi="Arial" w:cs="Arial"/>
          <w:szCs w:val="22"/>
        </w:rPr>
        <w:t>was agreed by LTC (and by extension Senate and Council) during 2011-12, and is available via</w:t>
      </w:r>
      <w:proofErr w:type="gramStart"/>
      <w:r>
        <w:rPr>
          <w:rFonts w:ascii="Arial" w:hAnsi="Arial" w:cs="Arial"/>
          <w:szCs w:val="22"/>
        </w:rPr>
        <w:t>:</w:t>
      </w:r>
      <w:proofErr w:type="gramEnd"/>
      <w:r>
        <w:rPr>
          <w:rFonts w:ascii="Arial" w:hAnsi="Arial" w:cs="Arial"/>
          <w:szCs w:val="22"/>
        </w:rPr>
        <w:br/>
      </w:r>
      <w:hyperlink r:id="rId9" w:history="1">
        <w:r w:rsidRPr="00947133">
          <w:rPr>
            <w:rStyle w:val="Hyperlink"/>
            <w:rFonts w:ascii="Arial" w:hAnsi="Arial" w:cs="Arial"/>
            <w:szCs w:val="22"/>
          </w:rPr>
          <w:t>http://www.lboro.ac.uk/admin/ar/policy/aqp/appendix/13/index.htm</w:t>
        </w:r>
      </w:hyperlink>
    </w:p>
    <w:p w:rsidR="003A5C8B" w:rsidRDefault="003A5C8B" w:rsidP="003A5C8B">
      <w:pPr>
        <w:spacing w:before="105" w:after="45" w:line="240" w:lineRule="atLeast"/>
        <w:rPr>
          <w:rFonts w:ascii="Arial" w:hAnsi="Arial" w:cs="Arial"/>
          <w:szCs w:val="22"/>
        </w:rPr>
      </w:pPr>
      <w:r>
        <w:rPr>
          <w:rFonts w:ascii="Arial" w:hAnsi="Arial" w:cs="Arial"/>
          <w:szCs w:val="22"/>
        </w:rPr>
        <w:t xml:space="preserve">Key changes included: clauses 14 and 15, regarding collation of responses to questions 1-12, and their circulation to Staff-Student Liaison Committees </w:t>
      </w:r>
      <w:r w:rsidR="00EF2B48">
        <w:rPr>
          <w:rFonts w:ascii="Arial" w:hAnsi="Arial" w:cs="Arial"/>
          <w:szCs w:val="22"/>
        </w:rPr>
        <w:t xml:space="preserve">(SSLCs) </w:t>
      </w:r>
      <w:r>
        <w:rPr>
          <w:rFonts w:ascii="Arial" w:hAnsi="Arial" w:cs="Arial"/>
          <w:szCs w:val="22"/>
        </w:rPr>
        <w:t xml:space="preserve">and LSU VP Education, in addition to appropriate academic colleagues; and clause </w:t>
      </w:r>
      <w:r w:rsidR="006705DF">
        <w:rPr>
          <w:rFonts w:ascii="Arial" w:hAnsi="Arial" w:cs="Arial"/>
          <w:szCs w:val="22"/>
        </w:rPr>
        <w:t>18 requiring</w:t>
      </w:r>
      <w:r w:rsidR="00473A7C">
        <w:rPr>
          <w:rFonts w:ascii="Arial" w:hAnsi="Arial" w:cs="Arial"/>
          <w:szCs w:val="22"/>
        </w:rPr>
        <w:t xml:space="preserve"> submission of all </w:t>
      </w:r>
      <w:r w:rsidR="006705DF">
        <w:rPr>
          <w:rFonts w:ascii="Arial" w:hAnsi="Arial" w:cs="Arial"/>
          <w:szCs w:val="22"/>
        </w:rPr>
        <w:t xml:space="preserve">feedback </w:t>
      </w:r>
      <w:r w:rsidR="00473A7C">
        <w:rPr>
          <w:rFonts w:ascii="Arial" w:hAnsi="Arial" w:cs="Arial"/>
          <w:szCs w:val="22"/>
        </w:rPr>
        <w:t>questionnaires to the Print Unit within one week of the end of the semester in question, with results processed and available on-line within a further week, in order to give maximum opportunity to inform changes and updates.</w:t>
      </w:r>
    </w:p>
    <w:p w:rsidR="003A5C8B" w:rsidRDefault="003A5C8B" w:rsidP="003A5C8B">
      <w:pPr>
        <w:spacing w:before="105" w:after="45" w:line="240" w:lineRule="atLeast"/>
        <w:rPr>
          <w:rFonts w:ascii="Arial" w:hAnsi="Arial" w:cs="Arial"/>
          <w:szCs w:val="22"/>
        </w:rPr>
      </w:pPr>
    </w:p>
    <w:p w:rsidR="00473A7C" w:rsidRPr="00473A7C" w:rsidRDefault="00473A7C" w:rsidP="003A5C8B">
      <w:pPr>
        <w:spacing w:before="105" w:after="45" w:line="240" w:lineRule="atLeast"/>
        <w:rPr>
          <w:rFonts w:ascii="Arial" w:hAnsi="Arial" w:cs="Arial"/>
          <w:b/>
          <w:bCs/>
          <w:szCs w:val="22"/>
        </w:rPr>
      </w:pPr>
      <w:r w:rsidRPr="00473A7C">
        <w:rPr>
          <w:rFonts w:ascii="Arial" w:hAnsi="Arial" w:cs="Arial"/>
          <w:b/>
          <w:bCs/>
          <w:szCs w:val="22"/>
        </w:rPr>
        <w:t>2.</w:t>
      </w:r>
      <w:r w:rsidRPr="00473A7C">
        <w:rPr>
          <w:rFonts w:ascii="Arial" w:hAnsi="Arial" w:cs="Arial"/>
          <w:b/>
          <w:bCs/>
          <w:szCs w:val="22"/>
        </w:rPr>
        <w:tab/>
        <w:t>Progress towards fulfilling the new policy</w:t>
      </w:r>
    </w:p>
    <w:p w:rsidR="00473A7C" w:rsidRDefault="00473A7C" w:rsidP="003A5C8B">
      <w:pPr>
        <w:spacing w:before="105" w:after="45" w:line="240" w:lineRule="atLeast"/>
        <w:rPr>
          <w:rFonts w:ascii="Arial" w:hAnsi="Arial" w:cs="Arial"/>
          <w:szCs w:val="22"/>
        </w:rPr>
      </w:pPr>
      <w:r>
        <w:rPr>
          <w:rFonts w:ascii="Arial" w:hAnsi="Arial" w:cs="Arial"/>
          <w:szCs w:val="22"/>
        </w:rPr>
        <w:t>It was to be expected that there would be a ‘learning curve’</w:t>
      </w:r>
      <w:r w:rsidR="00EF2B48">
        <w:rPr>
          <w:rFonts w:ascii="Arial" w:hAnsi="Arial" w:cs="Arial"/>
          <w:szCs w:val="22"/>
        </w:rPr>
        <w:t xml:space="preserve"> in implement</w:t>
      </w:r>
      <w:r w:rsidR="006705DF">
        <w:rPr>
          <w:rFonts w:ascii="Arial" w:hAnsi="Arial" w:cs="Arial"/>
          <w:szCs w:val="22"/>
        </w:rPr>
        <w:t>ing the new code</w:t>
      </w:r>
      <w:r w:rsidR="00EF2B48">
        <w:rPr>
          <w:rFonts w:ascii="Arial" w:hAnsi="Arial" w:cs="Arial"/>
          <w:szCs w:val="22"/>
        </w:rPr>
        <w:t>.</w:t>
      </w:r>
    </w:p>
    <w:p w:rsidR="00EF2B48" w:rsidRDefault="00EF2B48" w:rsidP="003A5C8B">
      <w:pPr>
        <w:spacing w:before="105" w:after="45" w:line="240" w:lineRule="atLeast"/>
        <w:rPr>
          <w:rFonts w:ascii="Arial" w:hAnsi="Arial" w:cs="Arial"/>
          <w:szCs w:val="22"/>
        </w:rPr>
      </w:pPr>
      <w:r>
        <w:rPr>
          <w:rFonts w:ascii="Arial" w:hAnsi="Arial" w:cs="Arial"/>
          <w:szCs w:val="22"/>
        </w:rPr>
        <w:t>Anecdotal feedb</w:t>
      </w:r>
      <w:r w:rsidR="006705DF">
        <w:rPr>
          <w:rFonts w:ascii="Arial" w:hAnsi="Arial" w:cs="Arial"/>
          <w:szCs w:val="22"/>
        </w:rPr>
        <w:t>ack via student channels suggests</w:t>
      </w:r>
      <w:r>
        <w:rPr>
          <w:rFonts w:ascii="Arial" w:hAnsi="Arial" w:cs="Arial"/>
          <w:szCs w:val="22"/>
        </w:rPr>
        <w:t xml:space="preserve"> that collated questionnaire responses as above have not been received by SSLCs and LSU VP Education in every case.</w:t>
      </w:r>
    </w:p>
    <w:p w:rsidR="00EF2B48" w:rsidRDefault="00EF2B48" w:rsidP="003A5C8B">
      <w:pPr>
        <w:spacing w:before="105" w:after="45" w:line="240" w:lineRule="atLeast"/>
        <w:rPr>
          <w:rFonts w:ascii="Arial" w:hAnsi="Arial" w:cs="Arial"/>
          <w:szCs w:val="22"/>
        </w:rPr>
      </w:pPr>
      <w:r>
        <w:rPr>
          <w:rFonts w:ascii="Arial" w:hAnsi="Arial" w:cs="Arial"/>
          <w:szCs w:val="22"/>
        </w:rPr>
        <w:t>The table below shows that around 7% of feedback questionnaires were received and processed by the Print Unit well after the Code of Practice deadline. Many came in after the start of this academic year – too late for any lessons learnt to be learnt to applied to this year’s teaching</w:t>
      </w:r>
    </w:p>
    <w:p w:rsidR="00EF2B48" w:rsidRDefault="00EF2B48" w:rsidP="003A5C8B">
      <w:pPr>
        <w:spacing w:before="105" w:after="45" w:line="240" w:lineRule="atLeast"/>
        <w:rPr>
          <w:rFonts w:ascii="Arial" w:hAnsi="Arial" w:cs="Arial"/>
          <w:szCs w:val="22"/>
        </w:rPr>
      </w:pPr>
      <w:r>
        <w:rPr>
          <w:rFonts w:ascii="Arial" w:hAnsi="Arial" w:cs="Arial"/>
          <w:noProof/>
          <w:szCs w:val="22"/>
          <w:lang w:eastAsia="zh-CN"/>
        </w:rPr>
        <w:drawing>
          <wp:inline distT="0" distB="0" distL="0" distR="0" wp14:anchorId="3E1FA5A6">
            <wp:extent cx="4476750" cy="30811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941" cy="3081258"/>
                    </a:xfrm>
                    <a:prstGeom prst="rect">
                      <a:avLst/>
                    </a:prstGeom>
                    <a:noFill/>
                  </pic:spPr>
                </pic:pic>
              </a:graphicData>
            </a:graphic>
          </wp:inline>
        </w:drawing>
      </w:r>
    </w:p>
    <w:p w:rsidR="00EF2B48" w:rsidRDefault="00EF2B48" w:rsidP="003A5C8B">
      <w:pPr>
        <w:spacing w:before="105" w:after="45" w:line="240" w:lineRule="atLeast"/>
        <w:rPr>
          <w:rFonts w:ascii="Arial" w:hAnsi="Arial" w:cs="Arial"/>
          <w:szCs w:val="22"/>
        </w:rPr>
      </w:pPr>
      <w:r>
        <w:rPr>
          <w:rFonts w:ascii="Arial" w:hAnsi="Arial" w:cs="Arial"/>
          <w:szCs w:val="22"/>
        </w:rPr>
        <w:t>Fig 1 – Return of Student Feedback Questionnaires to Print Unit summer 2012</w:t>
      </w:r>
    </w:p>
    <w:p w:rsidR="00EF2B48" w:rsidRDefault="00EF2B48" w:rsidP="003A5C8B">
      <w:pPr>
        <w:spacing w:before="105" w:after="45" w:line="240" w:lineRule="atLeast"/>
        <w:rPr>
          <w:rFonts w:ascii="Arial" w:hAnsi="Arial" w:cs="Arial"/>
          <w:b/>
          <w:bCs/>
          <w:szCs w:val="22"/>
        </w:rPr>
      </w:pPr>
    </w:p>
    <w:p w:rsidR="003A5C8B" w:rsidRPr="00EF2B48" w:rsidRDefault="006705DF" w:rsidP="003A5C8B">
      <w:pPr>
        <w:spacing w:before="105" w:after="45" w:line="240" w:lineRule="atLeast"/>
        <w:rPr>
          <w:rFonts w:ascii="Arial" w:hAnsi="Arial" w:cs="Arial"/>
          <w:b/>
          <w:bCs/>
          <w:szCs w:val="22"/>
        </w:rPr>
      </w:pPr>
      <w:r>
        <w:rPr>
          <w:rFonts w:ascii="Arial" w:hAnsi="Arial" w:cs="Arial"/>
          <w:b/>
          <w:bCs/>
          <w:szCs w:val="22"/>
        </w:rPr>
        <w:t xml:space="preserve">Action: </w:t>
      </w:r>
      <w:r w:rsidR="00EF2B48">
        <w:rPr>
          <w:rFonts w:ascii="Arial" w:hAnsi="Arial" w:cs="Arial"/>
          <w:b/>
          <w:bCs/>
          <w:szCs w:val="22"/>
        </w:rPr>
        <w:t xml:space="preserve">LTC support is requested to invite colleagues to be mindful of timings for returning questionnaires to the Print Unit, and </w:t>
      </w:r>
      <w:r w:rsidR="00D96FA3">
        <w:rPr>
          <w:rFonts w:ascii="Arial" w:hAnsi="Arial" w:cs="Arial"/>
          <w:b/>
          <w:bCs/>
          <w:szCs w:val="22"/>
        </w:rPr>
        <w:t xml:space="preserve">of the need for </w:t>
      </w:r>
      <w:r w:rsidR="00EF2B48">
        <w:rPr>
          <w:rFonts w:ascii="Arial" w:hAnsi="Arial" w:cs="Arial"/>
          <w:b/>
          <w:bCs/>
          <w:szCs w:val="22"/>
        </w:rPr>
        <w:t>collating responses for SSLCs and LSU VP Education</w:t>
      </w:r>
      <w:r w:rsidR="00D96FA3">
        <w:rPr>
          <w:rFonts w:ascii="Arial" w:hAnsi="Arial" w:cs="Arial"/>
          <w:b/>
          <w:bCs/>
          <w:szCs w:val="22"/>
        </w:rPr>
        <w:t xml:space="preserve"> as per the code</w:t>
      </w:r>
      <w:r w:rsidR="00EF2B48">
        <w:rPr>
          <w:rFonts w:ascii="Arial" w:hAnsi="Arial" w:cs="Arial"/>
          <w:b/>
          <w:bCs/>
          <w:szCs w:val="22"/>
        </w:rPr>
        <w:t>.</w:t>
      </w:r>
    </w:p>
    <w:p w:rsidR="003A5C8B" w:rsidRPr="00EF2B48" w:rsidRDefault="006705DF" w:rsidP="00D96FA3">
      <w:pPr>
        <w:rPr>
          <w:rFonts w:ascii="Arial" w:hAnsi="Arial" w:cs="Arial"/>
          <w:b/>
          <w:bCs/>
          <w:szCs w:val="22"/>
        </w:rPr>
      </w:pPr>
      <w:r>
        <w:rPr>
          <w:rFonts w:ascii="Arial" w:hAnsi="Arial" w:cs="Arial"/>
          <w:b/>
          <w:bCs/>
          <w:szCs w:val="22"/>
        </w:rPr>
        <w:br w:type="page"/>
      </w:r>
      <w:bookmarkStart w:id="0" w:name="_GoBack"/>
      <w:bookmarkEnd w:id="0"/>
      <w:r w:rsidR="00EF2B48" w:rsidRPr="00EF2B48">
        <w:rPr>
          <w:rFonts w:ascii="Arial" w:hAnsi="Arial" w:cs="Arial"/>
          <w:b/>
          <w:bCs/>
          <w:szCs w:val="22"/>
        </w:rPr>
        <w:lastRenderedPageBreak/>
        <w:t>4.</w:t>
      </w:r>
      <w:r w:rsidR="00EF2B48" w:rsidRPr="00EF2B48">
        <w:rPr>
          <w:rFonts w:ascii="Arial" w:hAnsi="Arial" w:cs="Arial"/>
          <w:b/>
          <w:bCs/>
          <w:szCs w:val="22"/>
        </w:rPr>
        <w:tab/>
        <w:t>Further background information</w:t>
      </w:r>
      <w:r w:rsidR="00EF2B48">
        <w:rPr>
          <w:rFonts w:ascii="Arial" w:hAnsi="Arial" w:cs="Arial"/>
          <w:b/>
          <w:bCs/>
          <w:szCs w:val="22"/>
        </w:rPr>
        <w:t xml:space="preserve"> on questionnaire system</w:t>
      </w:r>
    </w:p>
    <w:p w:rsidR="009A710D" w:rsidRDefault="00D96FA3" w:rsidP="003A5C8B">
      <w:pPr>
        <w:spacing w:before="105" w:after="45" w:line="240" w:lineRule="atLeast"/>
        <w:rPr>
          <w:rFonts w:ascii="Arial" w:hAnsi="Arial" w:cs="Arial"/>
          <w:szCs w:val="22"/>
        </w:rPr>
      </w:pPr>
      <w:r>
        <w:rPr>
          <w:rFonts w:ascii="Arial" w:hAnsi="Arial" w:cs="Arial"/>
          <w:szCs w:val="22"/>
        </w:rPr>
        <w:t>A pragmatic ‘cut-</w:t>
      </w:r>
      <w:r w:rsidR="009A710D">
        <w:rPr>
          <w:rFonts w:ascii="Arial" w:hAnsi="Arial" w:cs="Arial"/>
          <w:szCs w:val="22"/>
        </w:rPr>
        <w:t>off date’ of 16 November 2012 was circulated to School staff: all questionnaires received before then are treated as from Semester 2 2011/12; all questionnaire</w:t>
      </w:r>
      <w:r>
        <w:rPr>
          <w:rFonts w:ascii="Arial" w:hAnsi="Arial" w:cs="Arial"/>
          <w:szCs w:val="22"/>
        </w:rPr>
        <w:t>s received thereafter we</w:t>
      </w:r>
      <w:r w:rsidR="009A710D">
        <w:rPr>
          <w:rFonts w:ascii="Arial" w:hAnsi="Arial" w:cs="Arial"/>
          <w:szCs w:val="22"/>
        </w:rPr>
        <w:t>re assumed to be from Semeste</w:t>
      </w:r>
      <w:r>
        <w:rPr>
          <w:rFonts w:ascii="Arial" w:hAnsi="Arial" w:cs="Arial"/>
          <w:szCs w:val="22"/>
        </w:rPr>
        <w:t xml:space="preserve">r 1 2012/13. This approach </w:t>
      </w:r>
      <w:r w:rsidR="009A710D">
        <w:rPr>
          <w:rFonts w:ascii="Arial" w:hAnsi="Arial" w:cs="Arial"/>
          <w:szCs w:val="22"/>
        </w:rPr>
        <w:t>ensure</w:t>
      </w:r>
      <w:r>
        <w:rPr>
          <w:rFonts w:ascii="Arial" w:hAnsi="Arial" w:cs="Arial"/>
          <w:szCs w:val="22"/>
        </w:rPr>
        <w:t>s</w:t>
      </w:r>
      <w:r w:rsidR="009A710D">
        <w:rPr>
          <w:rFonts w:ascii="Arial" w:hAnsi="Arial" w:cs="Arial"/>
          <w:szCs w:val="22"/>
        </w:rPr>
        <w:t xml:space="preserve"> that PGT and other feedback legitimately sought in September and October</w:t>
      </w:r>
      <w:r>
        <w:rPr>
          <w:rFonts w:ascii="Arial" w:hAnsi="Arial" w:cs="Arial"/>
          <w:szCs w:val="22"/>
        </w:rPr>
        <w:t>, right</w:t>
      </w:r>
      <w:r w:rsidR="009A710D">
        <w:rPr>
          <w:rFonts w:ascii="Arial" w:hAnsi="Arial" w:cs="Arial"/>
          <w:szCs w:val="22"/>
        </w:rPr>
        <w:t xml:space="preserve"> at the end of the academic year</w:t>
      </w:r>
      <w:r>
        <w:rPr>
          <w:rFonts w:ascii="Arial" w:hAnsi="Arial" w:cs="Arial"/>
          <w:szCs w:val="22"/>
        </w:rPr>
        <w:t>,</w:t>
      </w:r>
      <w:r w:rsidR="009A710D">
        <w:rPr>
          <w:rFonts w:ascii="Arial" w:hAnsi="Arial" w:cs="Arial"/>
          <w:szCs w:val="22"/>
        </w:rPr>
        <w:t xml:space="preserve"> will be analysed in the correct year.</w:t>
      </w:r>
    </w:p>
    <w:p w:rsidR="00EF2B48" w:rsidRDefault="00EF2B48" w:rsidP="003A5C8B">
      <w:pPr>
        <w:spacing w:before="105" w:after="45" w:line="240" w:lineRule="atLeast"/>
        <w:rPr>
          <w:rFonts w:ascii="Arial" w:hAnsi="Arial" w:cs="Arial"/>
          <w:szCs w:val="22"/>
        </w:rPr>
      </w:pPr>
      <w:r>
        <w:rPr>
          <w:rFonts w:ascii="Arial" w:hAnsi="Arial" w:cs="Arial"/>
          <w:szCs w:val="22"/>
        </w:rPr>
        <w:t>The content of questions this year has been updated by the Teaching Unit, and communicated to all relevant School staff.</w:t>
      </w:r>
    </w:p>
    <w:p w:rsidR="00EF2B48" w:rsidRDefault="00EF2B48" w:rsidP="003A5C8B">
      <w:pPr>
        <w:spacing w:before="105" w:after="45" w:line="240" w:lineRule="atLeast"/>
        <w:rPr>
          <w:rFonts w:ascii="Arial" w:hAnsi="Arial" w:cs="Arial"/>
          <w:szCs w:val="22"/>
        </w:rPr>
      </w:pPr>
      <w:r>
        <w:rPr>
          <w:rFonts w:ascii="Arial" w:hAnsi="Arial" w:cs="Arial"/>
          <w:szCs w:val="22"/>
        </w:rPr>
        <w:t>A ‘year roll-over’ function has been added to the LUSI reporting on questionnaires, allowing previous years’ reports (and questions) to be accessed.</w:t>
      </w:r>
    </w:p>
    <w:p w:rsidR="00EF2B48" w:rsidRDefault="009A710D" w:rsidP="003A5C8B">
      <w:pPr>
        <w:spacing w:before="105" w:after="45" w:line="240" w:lineRule="atLeast"/>
        <w:rPr>
          <w:rFonts w:ascii="Arial" w:hAnsi="Arial" w:cs="Arial"/>
          <w:szCs w:val="22"/>
        </w:rPr>
      </w:pPr>
      <w:r>
        <w:rPr>
          <w:rFonts w:ascii="Arial" w:hAnsi="Arial" w:cs="Arial"/>
          <w:szCs w:val="22"/>
        </w:rPr>
        <w:t xml:space="preserve">LUSI reporting is now available ‘by programme by module’. A further report, to average </w:t>
      </w:r>
      <w:r w:rsidR="00D96FA3">
        <w:rPr>
          <w:rFonts w:ascii="Arial" w:hAnsi="Arial" w:cs="Arial"/>
          <w:szCs w:val="22"/>
        </w:rPr>
        <w:t xml:space="preserve">core questions </w:t>
      </w:r>
      <w:r>
        <w:rPr>
          <w:rFonts w:ascii="Arial" w:hAnsi="Arial" w:cs="Arial"/>
          <w:szCs w:val="22"/>
        </w:rPr>
        <w:t>by programme over all modules taught in that programme, is being prepared, and will go on line in the new calendar year.</w:t>
      </w:r>
    </w:p>
    <w:p w:rsidR="009A710D" w:rsidRDefault="009A710D" w:rsidP="003A5C8B">
      <w:pPr>
        <w:spacing w:before="105" w:after="45" w:line="240" w:lineRule="atLeast"/>
        <w:rPr>
          <w:rFonts w:ascii="Arial" w:hAnsi="Arial" w:cs="Arial"/>
          <w:szCs w:val="22"/>
        </w:rPr>
      </w:pPr>
      <w:r>
        <w:rPr>
          <w:rFonts w:ascii="Arial" w:hAnsi="Arial" w:cs="Arial"/>
          <w:szCs w:val="22"/>
        </w:rPr>
        <w:t>Organisers of Distance Learning modules where the primary mode of content delivery is paper are being encouraged to send paper questionnaires with learning materials, to be returned and submitted to the Print Unit in the usual way.</w:t>
      </w:r>
    </w:p>
    <w:p w:rsidR="009A710D" w:rsidRDefault="009A710D" w:rsidP="003A5C8B">
      <w:pPr>
        <w:spacing w:before="105" w:after="45" w:line="240" w:lineRule="atLeast"/>
        <w:rPr>
          <w:rFonts w:ascii="Arial" w:hAnsi="Arial" w:cs="Arial"/>
          <w:szCs w:val="22"/>
        </w:rPr>
      </w:pPr>
      <w:r>
        <w:rPr>
          <w:rFonts w:ascii="Arial" w:hAnsi="Arial" w:cs="Arial"/>
          <w:szCs w:val="22"/>
        </w:rPr>
        <w:t xml:space="preserve">In the case of Distance Learning Modules that are primarily mediated on-line, </w:t>
      </w:r>
      <w:proofErr w:type="gramStart"/>
      <w:r>
        <w:rPr>
          <w:rFonts w:ascii="Arial" w:hAnsi="Arial" w:cs="Arial"/>
          <w:szCs w:val="22"/>
        </w:rPr>
        <w:t>ITS staff are</w:t>
      </w:r>
      <w:proofErr w:type="gramEnd"/>
      <w:r>
        <w:rPr>
          <w:rFonts w:ascii="Arial" w:hAnsi="Arial" w:cs="Arial"/>
          <w:szCs w:val="22"/>
        </w:rPr>
        <w:t xml:space="preserve"> working on a pilot with WEDC to use an on-line version of the standard questionnaire. Results will be fed into LUSI, and will be available via LUSI reporting, in the usual way.</w:t>
      </w:r>
    </w:p>
    <w:p w:rsidR="009A710D" w:rsidRDefault="009A710D" w:rsidP="003A5C8B">
      <w:pPr>
        <w:spacing w:before="105" w:after="45" w:line="240" w:lineRule="atLeast"/>
        <w:rPr>
          <w:rFonts w:ascii="Arial" w:hAnsi="Arial" w:cs="Arial"/>
          <w:szCs w:val="22"/>
        </w:rPr>
      </w:pPr>
    </w:p>
    <w:p w:rsidR="009A710D" w:rsidRPr="009A710D" w:rsidRDefault="009A710D" w:rsidP="003A5C8B">
      <w:pPr>
        <w:spacing w:before="105" w:after="45" w:line="240" w:lineRule="atLeast"/>
        <w:rPr>
          <w:rFonts w:ascii="Arial" w:hAnsi="Arial" w:cs="Arial"/>
          <w:b/>
          <w:bCs/>
          <w:szCs w:val="22"/>
        </w:rPr>
      </w:pPr>
      <w:r w:rsidRPr="009A710D">
        <w:rPr>
          <w:rFonts w:ascii="Arial" w:hAnsi="Arial" w:cs="Arial"/>
          <w:b/>
          <w:bCs/>
          <w:szCs w:val="22"/>
        </w:rPr>
        <w:t>5.</w:t>
      </w:r>
      <w:r w:rsidRPr="009A710D">
        <w:rPr>
          <w:rFonts w:ascii="Arial" w:hAnsi="Arial" w:cs="Arial"/>
          <w:b/>
          <w:bCs/>
          <w:szCs w:val="22"/>
        </w:rPr>
        <w:tab/>
        <w:t>Project and dissertation evaluation forms</w:t>
      </w:r>
    </w:p>
    <w:p w:rsidR="009A710D" w:rsidRDefault="009A710D" w:rsidP="003A5C8B">
      <w:pPr>
        <w:spacing w:before="105" w:after="45" w:line="240" w:lineRule="atLeast"/>
        <w:rPr>
          <w:rFonts w:ascii="Arial" w:hAnsi="Arial" w:cs="Arial"/>
          <w:szCs w:val="22"/>
        </w:rPr>
      </w:pPr>
      <w:r>
        <w:rPr>
          <w:rFonts w:ascii="Arial" w:hAnsi="Arial" w:cs="Arial"/>
          <w:szCs w:val="22"/>
        </w:rPr>
        <w:t xml:space="preserve">Despite a large amount of time being invested </w:t>
      </w:r>
      <w:r w:rsidR="00832AA7">
        <w:rPr>
          <w:rFonts w:ascii="Arial" w:hAnsi="Arial" w:cs="Arial"/>
          <w:szCs w:val="22"/>
        </w:rPr>
        <w:t xml:space="preserve">by ITS etc. </w:t>
      </w:r>
      <w:r>
        <w:rPr>
          <w:rFonts w:ascii="Arial" w:hAnsi="Arial" w:cs="Arial"/>
          <w:szCs w:val="22"/>
        </w:rPr>
        <w:t>in preparing variant</w:t>
      </w:r>
      <w:r w:rsidR="00832AA7">
        <w:rPr>
          <w:rFonts w:ascii="Arial" w:hAnsi="Arial" w:cs="Arial"/>
          <w:szCs w:val="22"/>
        </w:rPr>
        <w:t>s of the module system for the above</w:t>
      </w:r>
      <w:r>
        <w:rPr>
          <w:rFonts w:ascii="Arial" w:hAnsi="Arial" w:cs="Arial"/>
          <w:szCs w:val="22"/>
        </w:rPr>
        <w:t>, none were in the event used by Schools during 2011/12. It is noted that all projects and dissertations must be embedded within modules, and that the Code of Practice requires evaluation at the module level. It is sugg</w:t>
      </w:r>
      <w:r w:rsidR="00832AA7">
        <w:rPr>
          <w:rFonts w:ascii="Arial" w:hAnsi="Arial" w:cs="Arial"/>
          <w:szCs w:val="22"/>
        </w:rPr>
        <w:t>ested that in future, projects and dissertations are evaluated as part of the module they sit within, with optional questions used as appropriate to probe specific project/dissertation issues.</w:t>
      </w:r>
    </w:p>
    <w:p w:rsidR="00832AA7" w:rsidRDefault="006705DF" w:rsidP="003A5C8B">
      <w:pPr>
        <w:spacing w:before="105" w:after="45" w:line="240" w:lineRule="atLeast"/>
        <w:rPr>
          <w:rFonts w:ascii="Arial" w:hAnsi="Arial" w:cs="Arial"/>
          <w:szCs w:val="22"/>
        </w:rPr>
      </w:pPr>
      <w:r>
        <w:rPr>
          <w:rFonts w:ascii="Arial" w:hAnsi="Arial" w:cs="Arial"/>
          <w:b/>
          <w:bCs/>
          <w:szCs w:val="22"/>
        </w:rPr>
        <w:t xml:space="preserve">Action: </w:t>
      </w:r>
      <w:r w:rsidR="00832AA7">
        <w:rPr>
          <w:rFonts w:ascii="Arial" w:hAnsi="Arial" w:cs="Arial"/>
          <w:b/>
          <w:bCs/>
          <w:szCs w:val="22"/>
        </w:rPr>
        <w:t>LTC support is requested to discontinue stand-alone project/dissertation evaluation, and focus on module evaluation as per the Code of Practice</w:t>
      </w:r>
      <w:r w:rsidR="00832AA7">
        <w:rPr>
          <w:rFonts w:ascii="Arial" w:hAnsi="Arial" w:cs="Arial"/>
          <w:szCs w:val="22"/>
        </w:rPr>
        <w:t>.</w:t>
      </w:r>
    </w:p>
    <w:p w:rsidR="00832AA7" w:rsidRDefault="00832AA7" w:rsidP="003A5C8B">
      <w:pPr>
        <w:spacing w:before="105" w:after="45" w:line="240" w:lineRule="atLeast"/>
        <w:rPr>
          <w:rFonts w:ascii="Arial" w:hAnsi="Arial" w:cs="Arial"/>
          <w:szCs w:val="22"/>
        </w:rPr>
      </w:pPr>
    </w:p>
    <w:p w:rsidR="00832AA7" w:rsidRPr="00832AA7" w:rsidRDefault="00832AA7" w:rsidP="003A5C8B">
      <w:pPr>
        <w:spacing w:before="105" w:after="45" w:line="240" w:lineRule="atLeast"/>
        <w:rPr>
          <w:rFonts w:ascii="Arial" w:hAnsi="Arial" w:cs="Arial"/>
          <w:b/>
          <w:bCs/>
          <w:szCs w:val="22"/>
        </w:rPr>
      </w:pPr>
      <w:r w:rsidRPr="00832AA7">
        <w:rPr>
          <w:rFonts w:ascii="Arial" w:hAnsi="Arial" w:cs="Arial"/>
          <w:b/>
          <w:bCs/>
          <w:szCs w:val="22"/>
        </w:rPr>
        <w:t>6.</w:t>
      </w:r>
      <w:r w:rsidRPr="00832AA7">
        <w:rPr>
          <w:rFonts w:ascii="Arial" w:hAnsi="Arial" w:cs="Arial"/>
          <w:b/>
          <w:bCs/>
          <w:szCs w:val="22"/>
        </w:rPr>
        <w:tab/>
        <w:t>Retention of paper questionnaires</w:t>
      </w:r>
    </w:p>
    <w:p w:rsidR="00832AA7" w:rsidRDefault="00832AA7" w:rsidP="003A5C8B">
      <w:pPr>
        <w:spacing w:before="105" w:after="45" w:line="240" w:lineRule="atLeast"/>
        <w:rPr>
          <w:rFonts w:ascii="Arial" w:hAnsi="Arial" w:cs="Arial"/>
          <w:szCs w:val="22"/>
        </w:rPr>
      </w:pPr>
      <w:r>
        <w:rPr>
          <w:rFonts w:ascii="Arial" w:hAnsi="Arial" w:cs="Arial"/>
          <w:szCs w:val="22"/>
        </w:rPr>
        <w:t>Last year, paper questionnaires were kept by the Print Unit and then returned to Schools. This created large additional workload in the Print Unit, and possibly in Schools. Given that the new system has proved robust, and all results including free text responses are accessed and retained on LUSI, it is suggested that no useful purpose is served in retaining the paper questionnaires and returning them to Schools once they have been scanned.</w:t>
      </w:r>
    </w:p>
    <w:p w:rsidR="00832AA7" w:rsidRPr="00832AA7" w:rsidRDefault="006705DF" w:rsidP="003A5C8B">
      <w:pPr>
        <w:spacing w:before="105" w:after="45" w:line="240" w:lineRule="atLeast"/>
        <w:rPr>
          <w:rFonts w:ascii="Arial" w:hAnsi="Arial" w:cs="Arial"/>
          <w:b/>
          <w:bCs/>
          <w:szCs w:val="22"/>
        </w:rPr>
      </w:pPr>
      <w:r>
        <w:rPr>
          <w:rFonts w:ascii="Arial" w:hAnsi="Arial" w:cs="Arial"/>
          <w:b/>
          <w:bCs/>
          <w:szCs w:val="22"/>
        </w:rPr>
        <w:t xml:space="preserve">Action: </w:t>
      </w:r>
      <w:r w:rsidR="00832AA7">
        <w:rPr>
          <w:rFonts w:ascii="Arial" w:hAnsi="Arial" w:cs="Arial"/>
          <w:b/>
          <w:bCs/>
          <w:szCs w:val="22"/>
        </w:rPr>
        <w:t>LTC support is sought to allow the Print Unit to dispose of all paper questionnaires as confidential material once they have been safely scanned into LUSI.</w:t>
      </w:r>
    </w:p>
    <w:p w:rsidR="00851715" w:rsidRDefault="00851715" w:rsidP="00851715">
      <w:pPr>
        <w:spacing w:before="105" w:after="45" w:line="240" w:lineRule="atLeast"/>
        <w:rPr>
          <w:rFonts w:ascii="Arial" w:hAnsi="Arial" w:cs="Arial"/>
          <w:szCs w:val="22"/>
        </w:rPr>
      </w:pPr>
    </w:p>
    <w:p w:rsidR="00832AA7" w:rsidRDefault="00832AA7" w:rsidP="00851715">
      <w:pPr>
        <w:spacing w:before="105" w:after="45" w:line="240" w:lineRule="atLeast"/>
        <w:rPr>
          <w:rFonts w:ascii="Arial" w:hAnsi="Arial" w:cs="Arial"/>
          <w:szCs w:val="22"/>
        </w:rPr>
      </w:pPr>
      <w:r>
        <w:rPr>
          <w:rFonts w:ascii="Arial" w:hAnsi="Arial" w:cs="Arial"/>
          <w:szCs w:val="22"/>
        </w:rPr>
        <w:t xml:space="preserve">Phil Richards, Alison Freer, Caroline Smith, Dawn </w:t>
      </w:r>
      <w:proofErr w:type="spellStart"/>
      <w:r>
        <w:rPr>
          <w:rFonts w:ascii="Arial" w:hAnsi="Arial" w:cs="Arial"/>
          <w:szCs w:val="22"/>
        </w:rPr>
        <w:t>Fendell</w:t>
      </w:r>
      <w:proofErr w:type="spellEnd"/>
      <w:r>
        <w:rPr>
          <w:rFonts w:ascii="Arial" w:hAnsi="Arial" w:cs="Arial"/>
          <w:szCs w:val="22"/>
        </w:rPr>
        <w:t xml:space="preserve">, Janet Hague, Mark Ramsay, Richard Goodman, Time </w:t>
      </w:r>
      <w:proofErr w:type="spellStart"/>
      <w:r>
        <w:rPr>
          <w:rFonts w:ascii="Arial" w:hAnsi="Arial" w:cs="Arial"/>
          <w:szCs w:val="22"/>
        </w:rPr>
        <w:t>Baseley</w:t>
      </w:r>
      <w:proofErr w:type="spellEnd"/>
    </w:p>
    <w:p w:rsidR="00832AA7" w:rsidRPr="00851715" w:rsidRDefault="00832AA7" w:rsidP="00851715">
      <w:pPr>
        <w:spacing w:before="105" w:after="45" w:line="240" w:lineRule="atLeast"/>
        <w:rPr>
          <w:rFonts w:ascii="Arial" w:hAnsi="Arial" w:cs="Arial"/>
          <w:szCs w:val="22"/>
        </w:rPr>
      </w:pPr>
      <w:r>
        <w:rPr>
          <w:rFonts w:ascii="Arial" w:hAnsi="Arial" w:cs="Arial"/>
          <w:szCs w:val="22"/>
        </w:rPr>
        <w:t>November 2012</w:t>
      </w:r>
    </w:p>
    <w:sectPr w:rsidR="00832AA7" w:rsidRPr="00851715" w:rsidSect="007F2242">
      <w:footerReference w:type="default" r:id="rId1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BE" w:rsidRDefault="00FD1CBE" w:rsidP="00662237">
      <w:r>
        <w:separator/>
      </w:r>
    </w:p>
  </w:endnote>
  <w:endnote w:type="continuationSeparator" w:id="0">
    <w:p w:rsidR="00FD1CBE" w:rsidRDefault="00FD1CBE" w:rsidP="0066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DF" w:rsidRPr="00AA2826" w:rsidRDefault="006705DF">
    <w:pPr>
      <w:pStyle w:val="Footer"/>
      <w:jc w:val="center"/>
      <w:rPr>
        <w:rFonts w:ascii="Arial" w:hAnsi="Arial" w:cs="Arial"/>
      </w:rPr>
    </w:pPr>
    <w:r w:rsidRPr="00AA2826">
      <w:rPr>
        <w:rFonts w:ascii="Arial" w:hAnsi="Arial" w:cs="Arial"/>
      </w:rPr>
      <w:fldChar w:fldCharType="begin"/>
    </w:r>
    <w:r w:rsidRPr="00AA2826">
      <w:rPr>
        <w:rFonts w:ascii="Arial" w:hAnsi="Arial" w:cs="Arial"/>
      </w:rPr>
      <w:instrText xml:space="preserve"> PAGE   \* MERGEFORMAT </w:instrText>
    </w:r>
    <w:r w:rsidRPr="00AA2826">
      <w:rPr>
        <w:rFonts w:ascii="Arial" w:hAnsi="Arial" w:cs="Arial"/>
      </w:rPr>
      <w:fldChar w:fldCharType="separate"/>
    </w:r>
    <w:r w:rsidR="005D4005">
      <w:rPr>
        <w:rFonts w:ascii="Arial" w:hAnsi="Arial" w:cs="Arial"/>
        <w:noProof/>
      </w:rPr>
      <w:t>2</w:t>
    </w:r>
    <w:r w:rsidRPr="00AA2826">
      <w:rPr>
        <w:rFonts w:ascii="Arial" w:hAnsi="Arial" w:cs="Arial"/>
      </w:rPr>
      <w:fldChar w:fldCharType="end"/>
    </w:r>
  </w:p>
  <w:p w:rsidR="006705DF" w:rsidRDefault="00670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BE" w:rsidRDefault="00FD1CBE" w:rsidP="00662237">
      <w:r>
        <w:separator/>
      </w:r>
    </w:p>
  </w:footnote>
  <w:footnote w:type="continuationSeparator" w:id="0">
    <w:p w:rsidR="00FD1CBE" w:rsidRDefault="00FD1CBE" w:rsidP="00662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42" w:rsidRPr="00CE2C92" w:rsidRDefault="007F2242" w:rsidP="007F2242">
    <w:pPr>
      <w:pStyle w:val="Header"/>
      <w:jc w:val="right"/>
      <w:rPr>
        <w:rFonts w:asciiTheme="minorBidi" w:hAnsiTheme="minorBidi" w:cstheme="minorBidi"/>
      </w:rPr>
    </w:pPr>
    <w:r w:rsidRPr="00CE2C92">
      <w:rPr>
        <w:rFonts w:asciiTheme="minorBidi" w:hAnsiTheme="minorBidi" w:cstheme="minorBidi"/>
      </w:rPr>
      <w:t>LTC12-P63</w:t>
    </w:r>
  </w:p>
  <w:p w:rsidR="007F2242" w:rsidRPr="00CE2C92" w:rsidRDefault="007F2242" w:rsidP="007F2242">
    <w:pPr>
      <w:pStyle w:val="Header"/>
      <w:jc w:val="right"/>
      <w:rPr>
        <w:rFonts w:asciiTheme="minorBidi" w:hAnsiTheme="minorBidi" w:cstheme="minorBidi"/>
      </w:rPr>
    </w:pPr>
    <w:r w:rsidRPr="00CE2C92">
      <w:rPr>
        <w:rFonts w:asciiTheme="minorBidi" w:hAnsiTheme="minorBidi" w:cstheme="minorBidi"/>
      </w:rPr>
      <w:t>13 December 2012</w:t>
    </w:r>
  </w:p>
  <w:p w:rsidR="007F2242" w:rsidRDefault="007F2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31"/>
    <w:multiLevelType w:val="hybridMultilevel"/>
    <w:tmpl w:val="3C3A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559CB"/>
    <w:multiLevelType w:val="hybridMultilevel"/>
    <w:tmpl w:val="2BE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BE2D6E"/>
    <w:multiLevelType w:val="hybridMultilevel"/>
    <w:tmpl w:val="3726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D1EB2"/>
    <w:multiLevelType w:val="hybridMultilevel"/>
    <w:tmpl w:val="A95A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5489A"/>
    <w:multiLevelType w:val="hybridMultilevel"/>
    <w:tmpl w:val="E034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50636"/>
    <w:multiLevelType w:val="hybridMultilevel"/>
    <w:tmpl w:val="BF9659CA"/>
    <w:lvl w:ilvl="0" w:tplc="41D01DC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D9167A"/>
    <w:multiLevelType w:val="hybridMultilevel"/>
    <w:tmpl w:val="EE386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975AA7"/>
    <w:multiLevelType w:val="hybridMultilevel"/>
    <w:tmpl w:val="0CE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95AF5"/>
    <w:multiLevelType w:val="hybridMultilevel"/>
    <w:tmpl w:val="402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FA0D38"/>
    <w:multiLevelType w:val="hybridMultilevel"/>
    <w:tmpl w:val="444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131B28"/>
    <w:multiLevelType w:val="hybridMultilevel"/>
    <w:tmpl w:val="F454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27D39"/>
    <w:multiLevelType w:val="hybridMultilevel"/>
    <w:tmpl w:val="9BB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33924"/>
    <w:multiLevelType w:val="hybridMultilevel"/>
    <w:tmpl w:val="F990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73BD8"/>
    <w:multiLevelType w:val="hybridMultilevel"/>
    <w:tmpl w:val="AC94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EB265D"/>
    <w:multiLevelType w:val="hybridMultilevel"/>
    <w:tmpl w:val="EF66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870DA4"/>
    <w:multiLevelType w:val="hybridMultilevel"/>
    <w:tmpl w:val="116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300819"/>
    <w:multiLevelType w:val="hybridMultilevel"/>
    <w:tmpl w:val="BD980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F4048"/>
    <w:multiLevelType w:val="hybridMultilevel"/>
    <w:tmpl w:val="98EE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612127"/>
    <w:multiLevelType w:val="hybridMultilevel"/>
    <w:tmpl w:val="156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147328"/>
    <w:multiLevelType w:val="hybridMultilevel"/>
    <w:tmpl w:val="43B0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451E16"/>
    <w:multiLevelType w:val="hybridMultilevel"/>
    <w:tmpl w:val="1692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8"/>
  </w:num>
  <w:num w:numId="5">
    <w:abstractNumId w:val="20"/>
  </w:num>
  <w:num w:numId="6">
    <w:abstractNumId w:val="13"/>
  </w:num>
  <w:num w:numId="7">
    <w:abstractNumId w:val="3"/>
  </w:num>
  <w:num w:numId="8">
    <w:abstractNumId w:val="19"/>
  </w:num>
  <w:num w:numId="9">
    <w:abstractNumId w:val="1"/>
  </w:num>
  <w:num w:numId="10">
    <w:abstractNumId w:val="0"/>
  </w:num>
  <w:num w:numId="11">
    <w:abstractNumId w:val="11"/>
  </w:num>
  <w:num w:numId="12">
    <w:abstractNumId w:val="2"/>
  </w:num>
  <w:num w:numId="13">
    <w:abstractNumId w:val="7"/>
  </w:num>
  <w:num w:numId="14">
    <w:abstractNumId w:val="9"/>
  </w:num>
  <w:num w:numId="15">
    <w:abstractNumId w:val="17"/>
  </w:num>
  <w:num w:numId="16">
    <w:abstractNumId w:val="18"/>
  </w:num>
  <w:num w:numId="17">
    <w:abstractNumId w:val="12"/>
  </w:num>
  <w:num w:numId="18">
    <w:abstractNumId w:val="15"/>
  </w:num>
  <w:num w:numId="19">
    <w:abstractNumId w:val="1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F1"/>
    <w:rsid w:val="00007FA3"/>
    <w:rsid w:val="00011A55"/>
    <w:rsid w:val="00016A52"/>
    <w:rsid w:val="00030C81"/>
    <w:rsid w:val="0003569E"/>
    <w:rsid w:val="000471D1"/>
    <w:rsid w:val="0005741B"/>
    <w:rsid w:val="00072513"/>
    <w:rsid w:val="00076B46"/>
    <w:rsid w:val="00083BB2"/>
    <w:rsid w:val="00091D7C"/>
    <w:rsid w:val="000A7507"/>
    <w:rsid w:val="000C43F9"/>
    <w:rsid w:val="000D0DF9"/>
    <w:rsid w:val="000D56E0"/>
    <w:rsid w:val="000D6B17"/>
    <w:rsid w:val="000E14C9"/>
    <w:rsid w:val="000E3836"/>
    <w:rsid w:val="000E57AB"/>
    <w:rsid w:val="000F57BD"/>
    <w:rsid w:val="000F6F87"/>
    <w:rsid w:val="0013167F"/>
    <w:rsid w:val="00132AA2"/>
    <w:rsid w:val="00134BAE"/>
    <w:rsid w:val="00137444"/>
    <w:rsid w:val="00137973"/>
    <w:rsid w:val="001457C8"/>
    <w:rsid w:val="00147670"/>
    <w:rsid w:val="00154622"/>
    <w:rsid w:val="00165D45"/>
    <w:rsid w:val="00170E0B"/>
    <w:rsid w:val="001803F1"/>
    <w:rsid w:val="00190D5C"/>
    <w:rsid w:val="0019739B"/>
    <w:rsid w:val="001A02E2"/>
    <w:rsid w:val="001A4DE5"/>
    <w:rsid w:val="001E3A0B"/>
    <w:rsid w:val="001F34D2"/>
    <w:rsid w:val="001F35EA"/>
    <w:rsid w:val="001F50E4"/>
    <w:rsid w:val="00202C0B"/>
    <w:rsid w:val="00202FFC"/>
    <w:rsid w:val="00205964"/>
    <w:rsid w:val="0021106D"/>
    <w:rsid w:val="00211110"/>
    <w:rsid w:val="00214D04"/>
    <w:rsid w:val="00217203"/>
    <w:rsid w:val="00217D5A"/>
    <w:rsid w:val="0023004F"/>
    <w:rsid w:val="00233FB6"/>
    <w:rsid w:val="00236931"/>
    <w:rsid w:val="002440F1"/>
    <w:rsid w:val="0025481C"/>
    <w:rsid w:val="0026425E"/>
    <w:rsid w:val="00270661"/>
    <w:rsid w:val="00287100"/>
    <w:rsid w:val="00292B7F"/>
    <w:rsid w:val="002B2212"/>
    <w:rsid w:val="002B6BA4"/>
    <w:rsid w:val="002E4906"/>
    <w:rsid w:val="002E58B1"/>
    <w:rsid w:val="002E72B2"/>
    <w:rsid w:val="002E7850"/>
    <w:rsid w:val="002F22F4"/>
    <w:rsid w:val="002F52E6"/>
    <w:rsid w:val="00314ECD"/>
    <w:rsid w:val="003174C6"/>
    <w:rsid w:val="00327686"/>
    <w:rsid w:val="00327916"/>
    <w:rsid w:val="003341E9"/>
    <w:rsid w:val="00340B6F"/>
    <w:rsid w:val="00345DB0"/>
    <w:rsid w:val="0035204F"/>
    <w:rsid w:val="003615D3"/>
    <w:rsid w:val="003A0CAA"/>
    <w:rsid w:val="003A5C8B"/>
    <w:rsid w:val="003A7D34"/>
    <w:rsid w:val="003B44C3"/>
    <w:rsid w:val="003B67C9"/>
    <w:rsid w:val="003C1BCF"/>
    <w:rsid w:val="003D44FB"/>
    <w:rsid w:val="003E3524"/>
    <w:rsid w:val="003E7E3D"/>
    <w:rsid w:val="003F33B5"/>
    <w:rsid w:val="003F499A"/>
    <w:rsid w:val="00403DD0"/>
    <w:rsid w:val="00411717"/>
    <w:rsid w:val="004308F4"/>
    <w:rsid w:val="00437017"/>
    <w:rsid w:val="004550D7"/>
    <w:rsid w:val="00456852"/>
    <w:rsid w:val="00465402"/>
    <w:rsid w:val="00465CBF"/>
    <w:rsid w:val="00467629"/>
    <w:rsid w:val="00473A7C"/>
    <w:rsid w:val="00485C79"/>
    <w:rsid w:val="00487362"/>
    <w:rsid w:val="004A615A"/>
    <w:rsid w:val="004B6F9B"/>
    <w:rsid w:val="004D6D2E"/>
    <w:rsid w:val="004E62C6"/>
    <w:rsid w:val="00511B5A"/>
    <w:rsid w:val="00516332"/>
    <w:rsid w:val="00537C69"/>
    <w:rsid w:val="0054301F"/>
    <w:rsid w:val="00544662"/>
    <w:rsid w:val="00554F48"/>
    <w:rsid w:val="00557E10"/>
    <w:rsid w:val="00560DE2"/>
    <w:rsid w:val="005779FC"/>
    <w:rsid w:val="00582A5F"/>
    <w:rsid w:val="005878C0"/>
    <w:rsid w:val="00593ADF"/>
    <w:rsid w:val="005A071D"/>
    <w:rsid w:val="005B0D3A"/>
    <w:rsid w:val="005B2C69"/>
    <w:rsid w:val="005C0E67"/>
    <w:rsid w:val="005D1BD9"/>
    <w:rsid w:val="005D2C35"/>
    <w:rsid w:val="005D4005"/>
    <w:rsid w:val="005E3D0F"/>
    <w:rsid w:val="005E4C0F"/>
    <w:rsid w:val="00621FEA"/>
    <w:rsid w:val="00623685"/>
    <w:rsid w:val="00626079"/>
    <w:rsid w:val="00630DE9"/>
    <w:rsid w:val="006358CB"/>
    <w:rsid w:val="00655834"/>
    <w:rsid w:val="00662237"/>
    <w:rsid w:val="00667D9C"/>
    <w:rsid w:val="006705DF"/>
    <w:rsid w:val="006725DF"/>
    <w:rsid w:val="00673145"/>
    <w:rsid w:val="0067755C"/>
    <w:rsid w:val="00680644"/>
    <w:rsid w:val="006954F2"/>
    <w:rsid w:val="006977E7"/>
    <w:rsid w:val="006B250F"/>
    <w:rsid w:val="006C1F37"/>
    <w:rsid w:val="006C22F1"/>
    <w:rsid w:val="006D38F8"/>
    <w:rsid w:val="006D433E"/>
    <w:rsid w:val="006D4D3D"/>
    <w:rsid w:val="006D50CF"/>
    <w:rsid w:val="006E2C4F"/>
    <w:rsid w:val="006E331D"/>
    <w:rsid w:val="006F52C1"/>
    <w:rsid w:val="006F6F4A"/>
    <w:rsid w:val="00700D85"/>
    <w:rsid w:val="00702EFB"/>
    <w:rsid w:val="007127A8"/>
    <w:rsid w:val="007149E8"/>
    <w:rsid w:val="007152F4"/>
    <w:rsid w:val="00723C37"/>
    <w:rsid w:val="00726912"/>
    <w:rsid w:val="0073189C"/>
    <w:rsid w:val="00735D9A"/>
    <w:rsid w:val="00736850"/>
    <w:rsid w:val="00747745"/>
    <w:rsid w:val="007579DD"/>
    <w:rsid w:val="00765156"/>
    <w:rsid w:val="0077596B"/>
    <w:rsid w:val="00780FFD"/>
    <w:rsid w:val="00781995"/>
    <w:rsid w:val="00790591"/>
    <w:rsid w:val="007C7C14"/>
    <w:rsid w:val="007D2982"/>
    <w:rsid w:val="007E5A5D"/>
    <w:rsid w:val="007F2242"/>
    <w:rsid w:val="007F4C33"/>
    <w:rsid w:val="00805EF9"/>
    <w:rsid w:val="00826701"/>
    <w:rsid w:val="008319B0"/>
    <w:rsid w:val="00832A18"/>
    <w:rsid w:val="00832AA7"/>
    <w:rsid w:val="008352E1"/>
    <w:rsid w:val="00842298"/>
    <w:rsid w:val="00843660"/>
    <w:rsid w:val="00846044"/>
    <w:rsid w:val="00846495"/>
    <w:rsid w:val="00851124"/>
    <w:rsid w:val="00851715"/>
    <w:rsid w:val="008616B9"/>
    <w:rsid w:val="008636B3"/>
    <w:rsid w:val="00871B63"/>
    <w:rsid w:val="00872604"/>
    <w:rsid w:val="00885B1A"/>
    <w:rsid w:val="00891A37"/>
    <w:rsid w:val="00896BE6"/>
    <w:rsid w:val="008A5349"/>
    <w:rsid w:val="008B1891"/>
    <w:rsid w:val="008B3F5C"/>
    <w:rsid w:val="008B4EDC"/>
    <w:rsid w:val="008B7CC9"/>
    <w:rsid w:val="008D1242"/>
    <w:rsid w:val="008E198A"/>
    <w:rsid w:val="008E59CA"/>
    <w:rsid w:val="008F17F5"/>
    <w:rsid w:val="0090201F"/>
    <w:rsid w:val="00904210"/>
    <w:rsid w:val="00904223"/>
    <w:rsid w:val="00925214"/>
    <w:rsid w:val="00934865"/>
    <w:rsid w:val="00940370"/>
    <w:rsid w:val="00961B83"/>
    <w:rsid w:val="00961FA2"/>
    <w:rsid w:val="00963A54"/>
    <w:rsid w:val="00964043"/>
    <w:rsid w:val="00977A4E"/>
    <w:rsid w:val="0098565B"/>
    <w:rsid w:val="00987037"/>
    <w:rsid w:val="009872A3"/>
    <w:rsid w:val="00990822"/>
    <w:rsid w:val="00995A86"/>
    <w:rsid w:val="009A03F6"/>
    <w:rsid w:val="009A3389"/>
    <w:rsid w:val="009A710D"/>
    <w:rsid w:val="009B2FAB"/>
    <w:rsid w:val="009B5266"/>
    <w:rsid w:val="009C0107"/>
    <w:rsid w:val="009C5EBD"/>
    <w:rsid w:val="009D4377"/>
    <w:rsid w:val="009E2984"/>
    <w:rsid w:val="00A010FF"/>
    <w:rsid w:val="00A0274D"/>
    <w:rsid w:val="00A04163"/>
    <w:rsid w:val="00A12F3B"/>
    <w:rsid w:val="00A259C2"/>
    <w:rsid w:val="00A30E79"/>
    <w:rsid w:val="00A4262F"/>
    <w:rsid w:val="00A521AD"/>
    <w:rsid w:val="00A56016"/>
    <w:rsid w:val="00A66FD9"/>
    <w:rsid w:val="00A87E9A"/>
    <w:rsid w:val="00A93C7D"/>
    <w:rsid w:val="00A945A1"/>
    <w:rsid w:val="00AA2826"/>
    <w:rsid w:val="00AB5875"/>
    <w:rsid w:val="00AD48DF"/>
    <w:rsid w:val="00AE0DC6"/>
    <w:rsid w:val="00AE5DB6"/>
    <w:rsid w:val="00AE7A23"/>
    <w:rsid w:val="00AF3872"/>
    <w:rsid w:val="00B00F42"/>
    <w:rsid w:val="00B01405"/>
    <w:rsid w:val="00B03808"/>
    <w:rsid w:val="00B077DA"/>
    <w:rsid w:val="00B31AF1"/>
    <w:rsid w:val="00B47129"/>
    <w:rsid w:val="00B5382A"/>
    <w:rsid w:val="00B602D2"/>
    <w:rsid w:val="00B602EC"/>
    <w:rsid w:val="00B6038C"/>
    <w:rsid w:val="00B61B07"/>
    <w:rsid w:val="00B640CD"/>
    <w:rsid w:val="00B733B6"/>
    <w:rsid w:val="00B86806"/>
    <w:rsid w:val="00B8781F"/>
    <w:rsid w:val="00B92EA4"/>
    <w:rsid w:val="00BA602D"/>
    <w:rsid w:val="00BC14D9"/>
    <w:rsid w:val="00BC1D74"/>
    <w:rsid w:val="00BC253F"/>
    <w:rsid w:val="00BC7907"/>
    <w:rsid w:val="00BD287F"/>
    <w:rsid w:val="00BD5A7D"/>
    <w:rsid w:val="00BD6453"/>
    <w:rsid w:val="00BD7E3C"/>
    <w:rsid w:val="00C07B83"/>
    <w:rsid w:val="00C128C6"/>
    <w:rsid w:val="00C326C7"/>
    <w:rsid w:val="00C44148"/>
    <w:rsid w:val="00C56337"/>
    <w:rsid w:val="00C57432"/>
    <w:rsid w:val="00C6663D"/>
    <w:rsid w:val="00C70245"/>
    <w:rsid w:val="00C7129D"/>
    <w:rsid w:val="00C73377"/>
    <w:rsid w:val="00C8390F"/>
    <w:rsid w:val="00C9295A"/>
    <w:rsid w:val="00C975D9"/>
    <w:rsid w:val="00CA1947"/>
    <w:rsid w:val="00CA432E"/>
    <w:rsid w:val="00CB4BD6"/>
    <w:rsid w:val="00CB4E1E"/>
    <w:rsid w:val="00CC5008"/>
    <w:rsid w:val="00CE2C92"/>
    <w:rsid w:val="00D01F8A"/>
    <w:rsid w:val="00D04DA4"/>
    <w:rsid w:val="00D10632"/>
    <w:rsid w:val="00D17648"/>
    <w:rsid w:val="00D207C7"/>
    <w:rsid w:val="00D24196"/>
    <w:rsid w:val="00D26B3A"/>
    <w:rsid w:val="00D30E6B"/>
    <w:rsid w:val="00D42EB3"/>
    <w:rsid w:val="00D60587"/>
    <w:rsid w:val="00D70BE5"/>
    <w:rsid w:val="00D776F1"/>
    <w:rsid w:val="00D813CA"/>
    <w:rsid w:val="00D85BC5"/>
    <w:rsid w:val="00D92917"/>
    <w:rsid w:val="00D96FA3"/>
    <w:rsid w:val="00DA5A66"/>
    <w:rsid w:val="00DB1CA7"/>
    <w:rsid w:val="00DC37C1"/>
    <w:rsid w:val="00DF5119"/>
    <w:rsid w:val="00E07B78"/>
    <w:rsid w:val="00E15FED"/>
    <w:rsid w:val="00E32158"/>
    <w:rsid w:val="00E324CA"/>
    <w:rsid w:val="00E406E1"/>
    <w:rsid w:val="00E40E0C"/>
    <w:rsid w:val="00E4207E"/>
    <w:rsid w:val="00E5281A"/>
    <w:rsid w:val="00E53E87"/>
    <w:rsid w:val="00E718DF"/>
    <w:rsid w:val="00E7198F"/>
    <w:rsid w:val="00E747F8"/>
    <w:rsid w:val="00E7645D"/>
    <w:rsid w:val="00E77A38"/>
    <w:rsid w:val="00E904E9"/>
    <w:rsid w:val="00E91E05"/>
    <w:rsid w:val="00EC15CA"/>
    <w:rsid w:val="00EE0981"/>
    <w:rsid w:val="00EE0BDF"/>
    <w:rsid w:val="00EE18F7"/>
    <w:rsid w:val="00EF2B48"/>
    <w:rsid w:val="00EF6C8F"/>
    <w:rsid w:val="00F06745"/>
    <w:rsid w:val="00F230DF"/>
    <w:rsid w:val="00F2431C"/>
    <w:rsid w:val="00F25301"/>
    <w:rsid w:val="00F34D73"/>
    <w:rsid w:val="00F407B8"/>
    <w:rsid w:val="00F4411B"/>
    <w:rsid w:val="00F50818"/>
    <w:rsid w:val="00F56597"/>
    <w:rsid w:val="00F56C0B"/>
    <w:rsid w:val="00F57E8C"/>
    <w:rsid w:val="00F60AE2"/>
    <w:rsid w:val="00F85765"/>
    <w:rsid w:val="00F86B24"/>
    <w:rsid w:val="00F947CC"/>
    <w:rsid w:val="00F9771E"/>
    <w:rsid w:val="00FA7BE1"/>
    <w:rsid w:val="00FB0958"/>
    <w:rsid w:val="00FD1CBE"/>
    <w:rsid w:val="00FD7FE0"/>
    <w:rsid w:val="00FE1326"/>
    <w:rsid w:val="00FF2C76"/>
    <w:rsid w:val="00FF2F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F1"/>
    <w:rPr>
      <w:sz w:val="22"/>
      <w:szCs w:val="24"/>
    </w:rPr>
  </w:style>
  <w:style w:type="paragraph" w:styleId="Heading1">
    <w:name w:val="heading 1"/>
    <w:basedOn w:val="Normal"/>
    <w:next w:val="Normal"/>
    <w:qFormat/>
    <w:rsid w:val="002440F1"/>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885B1A"/>
    <w:pPr>
      <w:keepNext/>
      <w:spacing w:before="240" w:after="60"/>
      <w:outlineLvl w:val="1"/>
    </w:pPr>
    <w:rPr>
      <w:rFonts w:cs="Arial"/>
      <w:b/>
      <w:bCs/>
      <w:iCs/>
      <w:sz w:val="24"/>
      <w:szCs w:val="28"/>
    </w:rPr>
  </w:style>
  <w:style w:type="paragraph" w:styleId="Heading3">
    <w:name w:val="heading 3"/>
    <w:basedOn w:val="Normal"/>
    <w:next w:val="Normal"/>
    <w:qFormat/>
    <w:rsid w:val="00885B1A"/>
    <w:pPr>
      <w:keepNext/>
      <w:spacing w:before="240" w:after="6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2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62237"/>
    <w:rPr>
      <w:rFonts w:ascii="Arial" w:hAnsi="Arial"/>
      <w:sz w:val="20"/>
      <w:szCs w:val="20"/>
    </w:rPr>
  </w:style>
  <w:style w:type="character" w:customStyle="1" w:styleId="FootnoteTextChar">
    <w:name w:val="Footnote Text Char"/>
    <w:basedOn w:val="DefaultParagraphFont"/>
    <w:link w:val="FootnoteText"/>
    <w:semiHidden/>
    <w:rsid w:val="00662237"/>
    <w:rPr>
      <w:rFonts w:ascii="Arial" w:hAnsi="Arial"/>
    </w:rPr>
  </w:style>
  <w:style w:type="character" w:styleId="FootnoteReference">
    <w:name w:val="footnote reference"/>
    <w:basedOn w:val="DefaultParagraphFont"/>
    <w:semiHidden/>
    <w:rsid w:val="00662237"/>
    <w:rPr>
      <w:vertAlign w:val="superscript"/>
    </w:rPr>
  </w:style>
  <w:style w:type="character" w:styleId="Hyperlink">
    <w:name w:val="Hyperlink"/>
    <w:basedOn w:val="DefaultParagraphFont"/>
    <w:uiPriority w:val="99"/>
    <w:unhideWhenUsed/>
    <w:rsid w:val="00B00F42"/>
    <w:rPr>
      <w:color w:val="0000FF"/>
      <w:u w:val="single"/>
    </w:rPr>
  </w:style>
  <w:style w:type="paragraph" w:styleId="BalloonText">
    <w:name w:val="Balloon Text"/>
    <w:basedOn w:val="Normal"/>
    <w:link w:val="BalloonTextChar"/>
    <w:uiPriority w:val="99"/>
    <w:semiHidden/>
    <w:unhideWhenUsed/>
    <w:rsid w:val="008319B0"/>
    <w:rPr>
      <w:rFonts w:ascii="Tahoma" w:hAnsi="Tahoma" w:cs="Tahoma"/>
      <w:sz w:val="16"/>
      <w:szCs w:val="16"/>
    </w:rPr>
  </w:style>
  <w:style w:type="character" w:customStyle="1" w:styleId="BalloonTextChar">
    <w:name w:val="Balloon Text Char"/>
    <w:basedOn w:val="DefaultParagraphFont"/>
    <w:link w:val="BalloonText"/>
    <w:uiPriority w:val="99"/>
    <w:semiHidden/>
    <w:rsid w:val="008319B0"/>
    <w:rPr>
      <w:rFonts w:ascii="Tahoma" w:hAnsi="Tahoma" w:cs="Tahoma"/>
      <w:sz w:val="16"/>
      <w:szCs w:val="16"/>
    </w:rPr>
  </w:style>
  <w:style w:type="character" w:styleId="FollowedHyperlink">
    <w:name w:val="FollowedHyperlink"/>
    <w:basedOn w:val="DefaultParagraphFont"/>
    <w:uiPriority w:val="99"/>
    <w:semiHidden/>
    <w:unhideWhenUsed/>
    <w:rsid w:val="004308F4"/>
    <w:rPr>
      <w:color w:val="800080"/>
      <w:u w:val="single"/>
    </w:rPr>
  </w:style>
  <w:style w:type="paragraph" w:styleId="Header">
    <w:name w:val="header"/>
    <w:basedOn w:val="Normal"/>
    <w:link w:val="HeaderChar"/>
    <w:uiPriority w:val="99"/>
    <w:unhideWhenUsed/>
    <w:rsid w:val="00AA2826"/>
    <w:pPr>
      <w:tabs>
        <w:tab w:val="center" w:pos="4513"/>
        <w:tab w:val="right" w:pos="9026"/>
      </w:tabs>
    </w:pPr>
  </w:style>
  <w:style w:type="character" w:customStyle="1" w:styleId="HeaderChar">
    <w:name w:val="Header Char"/>
    <w:basedOn w:val="DefaultParagraphFont"/>
    <w:link w:val="Header"/>
    <w:uiPriority w:val="99"/>
    <w:rsid w:val="00AA2826"/>
    <w:rPr>
      <w:sz w:val="22"/>
      <w:szCs w:val="24"/>
    </w:rPr>
  </w:style>
  <w:style w:type="paragraph" w:styleId="Footer">
    <w:name w:val="footer"/>
    <w:basedOn w:val="Normal"/>
    <w:link w:val="FooterChar"/>
    <w:uiPriority w:val="99"/>
    <w:unhideWhenUsed/>
    <w:rsid w:val="00AA2826"/>
    <w:pPr>
      <w:tabs>
        <w:tab w:val="center" w:pos="4513"/>
        <w:tab w:val="right" w:pos="9026"/>
      </w:tabs>
    </w:pPr>
  </w:style>
  <w:style w:type="character" w:customStyle="1" w:styleId="FooterChar">
    <w:name w:val="Footer Char"/>
    <w:basedOn w:val="DefaultParagraphFont"/>
    <w:link w:val="Footer"/>
    <w:uiPriority w:val="99"/>
    <w:rsid w:val="00AA2826"/>
    <w:rPr>
      <w:sz w:val="22"/>
      <w:szCs w:val="24"/>
    </w:rPr>
  </w:style>
  <w:style w:type="paragraph" w:styleId="ListParagraph">
    <w:name w:val="List Paragraph"/>
    <w:basedOn w:val="Normal"/>
    <w:uiPriority w:val="34"/>
    <w:qFormat/>
    <w:rsid w:val="007D2982"/>
    <w:pPr>
      <w:spacing w:before="105" w:after="45" w:line="240" w:lineRule="atLeast"/>
      <w:ind w:left="720"/>
      <w:contextualSpacing/>
    </w:pPr>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F1"/>
    <w:rPr>
      <w:sz w:val="22"/>
      <w:szCs w:val="24"/>
    </w:rPr>
  </w:style>
  <w:style w:type="paragraph" w:styleId="Heading1">
    <w:name w:val="heading 1"/>
    <w:basedOn w:val="Normal"/>
    <w:next w:val="Normal"/>
    <w:qFormat/>
    <w:rsid w:val="002440F1"/>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885B1A"/>
    <w:pPr>
      <w:keepNext/>
      <w:spacing w:before="240" w:after="60"/>
      <w:outlineLvl w:val="1"/>
    </w:pPr>
    <w:rPr>
      <w:rFonts w:cs="Arial"/>
      <w:b/>
      <w:bCs/>
      <w:iCs/>
      <w:sz w:val="24"/>
      <w:szCs w:val="28"/>
    </w:rPr>
  </w:style>
  <w:style w:type="paragraph" w:styleId="Heading3">
    <w:name w:val="heading 3"/>
    <w:basedOn w:val="Normal"/>
    <w:next w:val="Normal"/>
    <w:qFormat/>
    <w:rsid w:val="00885B1A"/>
    <w:pPr>
      <w:keepNext/>
      <w:spacing w:before="240" w:after="6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2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62237"/>
    <w:rPr>
      <w:rFonts w:ascii="Arial" w:hAnsi="Arial"/>
      <w:sz w:val="20"/>
      <w:szCs w:val="20"/>
    </w:rPr>
  </w:style>
  <w:style w:type="character" w:customStyle="1" w:styleId="FootnoteTextChar">
    <w:name w:val="Footnote Text Char"/>
    <w:basedOn w:val="DefaultParagraphFont"/>
    <w:link w:val="FootnoteText"/>
    <w:semiHidden/>
    <w:rsid w:val="00662237"/>
    <w:rPr>
      <w:rFonts w:ascii="Arial" w:hAnsi="Arial"/>
    </w:rPr>
  </w:style>
  <w:style w:type="character" w:styleId="FootnoteReference">
    <w:name w:val="footnote reference"/>
    <w:basedOn w:val="DefaultParagraphFont"/>
    <w:semiHidden/>
    <w:rsid w:val="00662237"/>
    <w:rPr>
      <w:vertAlign w:val="superscript"/>
    </w:rPr>
  </w:style>
  <w:style w:type="character" w:styleId="Hyperlink">
    <w:name w:val="Hyperlink"/>
    <w:basedOn w:val="DefaultParagraphFont"/>
    <w:uiPriority w:val="99"/>
    <w:unhideWhenUsed/>
    <w:rsid w:val="00B00F42"/>
    <w:rPr>
      <w:color w:val="0000FF"/>
      <w:u w:val="single"/>
    </w:rPr>
  </w:style>
  <w:style w:type="paragraph" w:styleId="BalloonText">
    <w:name w:val="Balloon Text"/>
    <w:basedOn w:val="Normal"/>
    <w:link w:val="BalloonTextChar"/>
    <w:uiPriority w:val="99"/>
    <w:semiHidden/>
    <w:unhideWhenUsed/>
    <w:rsid w:val="008319B0"/>
    <w:rPr>
      <w:rFonts w:ascii="Tahoma" w:hAnsi="Tahoma" w:cs="Tahoma"/>
      <w:sz w:val="16"/>
      <w:szCs w:val="16"/>
    </w:rPr>
  </w:style>
  <w:style w:type="character" w:customStyle="1" w:styleId="BalloonTextChar">
    <w:name w:val="Balloon Text Char"/>
    <w:basedOn w:val="DefaultParagraphFont"/>
    <w:link w:val="BalloonText"/>
    <w:uiPriority w:val="99"/>
    <w:semiHidden/>
    <w:rsid w:val="008319B0"/>
    <w:rPr>
      <w:rFonts w:ascii="Tahoma" w:hAnsi="Tahoma" w:cs="Tahoma"/>
      <w:sz w:val="16"/>
      <w:szCs w:val="16"/>
    </w:rPr>
  </w:style>
  <w:style w:type="character" w:styleId="FollowedHyperlink">
    <w:name w:val="FollowedHyperlink"/>
    <w:basedOn w:val="DefaultParagraphFont"/>
    <w:uiPriority w:val="99"/>
    <w:semiHidden/>
    <w:unhideWhenUsed/>
    <w:rsid w:val="004308F4"/>
    <w:rPr>
      <w:color w:val="800080"/>
      <w:u w:val="single"/>
    </w:rPr>
  </w:style>
  <w:style w:type="paragraph" w:styleId="Header">
    <w:name w:val="header"/>
    <w:basedOn w:val="Normal"/>
    <w:link w:val="HeaderChar"/>
    <w:uiPriority w:val="99"/>
    <w:unhideWhenUsed/>
    <w:rsid w:val="00AA2826"/>
    <w:pPr>
      <w:tabs>
        <w:tab w:val="center" w:pos="4513"/>
        <w:tab w:val="right" w:pos="9026"/>
      </w:tabs>
    </w:pPr>
  </w:style>
  <w:style w:type="character" w:customStyle="1" w:styleId="HeaderChar">
    <w:name w:val="Header Char"/>
    <w:basedOn w:val="DefaultParagraphFont"/>
    <w:link w:val="Header"/>
    <w:uiPriority w:val="99"/>
    <w:rsid w:val="00AA2826"/>
    <w:rPr>
      <w:sz w:val="22"/>
      <w:szCs w:val="24"/>
    </w:rPr>
  </w:style>
  <w:style w:type="paragraph" w:styleId="Footer">
    <w:name w:val="footer"/>
    <w:basedOn w:val="Normal"/>
    <w:link w:val="FooterChar"/>
    <w:uiPriority w:val="99"/>
    <w:unhideWhenUsed/>
    <w:rsid w:val="00AA2826"/>
    <w:pPr>
      <w:tabs>
        <w:tab w:val="center" w:pos="4513"/>
        <w:tab w:val="right" w:pos="9026"/>
      </w:tabs>
    </w:pPr>
  </w:style>
  <w:style w:type="character" w:customStyle="1" w:styleId="FooterChar">
    <w:name w:val="Footer Char"/>
    <w:basedOn w:val="DefaultParagraphFont"/>
    <w:link w:val="Footer"/>
    <w:uiPriority w:val="99"/>
    <w:rsid w:val="00AA2826"/>
    <w:rPr>
      <w:sz w:val="22"/>
      <w:szCs w:val="24"/>
    </w:rPr>
  </w:style>
  <w:style w:type="paragraph" w:styleId="ListParagraph">
    <w:name w:val="List Paragraph"/>
    <w:basedOn w:val="Normal"/>
    <w:uiPriority w:val="34"/>
    <w:qFormat/>
    <w:rsid w:val="007D2982"/>
    <w:pPr>
      <w:spacing w:before="105" w:after="45" w:line="240" w:lineRule="atLeast"/>
      <w:ind w:left="720"/>
      <w:contextualSpacing/>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6037">
      <w:bodyDiv w:val="1"/>
      <w:marLeft w:val="0"/>
      <w:marRight w:val="0"/>
      <w:marTop w:val="0"/>
      <w:marBottom w:val="0"/>
      <w:divBdr>
        <w:top w:val="none" w:sz="0" w:space="0" w:color="auto"/>
        <w:left w:val="none" w:sz="0" w:space="0" w:color="auto"/>
        <w:bottom w:val="none" w:sz="0" w:space="0" w:color="auto"/>
        <w:right w:val="none" w:sz="0" w:space="0" w:color="auto"/>
      </w:divBdr>
    </w:div>
    <w:div w:id="762186687">
      <w:bodyDiv w:val="1"/>
      <w:marLeft w:val="0"/>
      <w:marRight w:val="0"/>
      <w:marTop w:val="0"/>
      <w:marBottom w:val="0"/>
      <w:divBdr>
        <w:top w:val="none" w:sz="0" w:space="0" w:color="auto"/>
        <w:left w:val="none" w:sz="0" w:space="0" w:color="auto"/>
        <w:bottom w:val="none" w:sz="0" w:space="0" w:color="auto"/>
        <w:right w:val="none" w:sz="0" w:space="0" w:color="auto"/>
      </w:divBdr>
    </w:div>
    <w:div w:id="944579161">
      <w:bodyDiv w:val="1"/>
      <w:marLeft w:val="0"/>
      <w:marRight w:val="0"/>
      <w:marTop w:val="0"/>
      <w:marBottom w:val="0"/>
      <w:divBdr>
        <w:top w:val="none" w:sz="0" w:space="0" w:color="auto"/>
        <w:left w:val="none" w:sz="0" w:space="0" w:color="auto"/>
        <w:bottom w:val="none" w:sz="0" w:space="0" w:color="auto"/>
        <w:right w:val="none" w:sz="0" w:space="0" w:color="auto"/>
      </w:divBdr>
    </w:div>
    <w:div w:id="1354840026">
      <w:bodyDiv w:val="1"/>
      <w:marLeft w:val="0"/>
      <w:marRight w:val="0"/>
      <w:marTop w:val="0"/>
      <w:marBottom w:val="0"/>
      <w:divBdr>
        <w:top w:val="none" w:sz="0" w:space="0" w:color="auto"/>
        <w:left w:val="none" w:sz="0" w:space="0" w:color="auto"/>
        <w:bottom w:val="none" w:sz="0" w:space="0" w:color="auto"/>
        <w:right w:val="none" w:sz="0" w:space="0" w:color="auto"/>
      </w:divBdr>
    </w:div>
    <w:div w:id="1982495665">
      <w:bodyDiv w:val="1"/>
      <w:marLeft w:val="0"/>
      <w:marRight w:val="0"/>
      <w:marTop w:val="0"/>
      <w:marBottom w:val="0"/>
      <w:divBdr>
        <w:top w:val="none" w:sz="0" w:space="0" w:color="auto"/>
        <w:left w:val="none" w:sz="0" w:space="0" w:color="auto"/>
        <w:bottom w:val="none" w:sz="0" w:space="0" w:color="auto"/>
        <w:right w:val="none" w:sz="0" w:space="0" w:color="auto"/>
      </w:divBdr>
    </w:div>
    <w:div w:id="204775652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boro.ac.uk/admin/ar/policy/aqp/appendix/13/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4E2D-7791-44ED-A6BE-B3ACC291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4804</CharactersWithSpaces>
  <SharedDoc>false</SharedDoc>
  <HLinks>
    <vt:vector size="6" baseType="variant">
      <vt:variant>
        <vt:i4>786513</vt:i4>
      </vt:variant>
      <vt:variant>
        <vt:i4>0</vt:i4>
      </vt:variant>
      <vt:variant>
        <vt:i4>0</vt:i4>
      </vt:variant>
      <vt:variant>
        <vt:i4>5</vt:i4>
      </vt:variant>
      <vt:variant>
        <vt:lpwstr>http://www.lboro.ac.uk/it/off-campus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Richards</dc:creator>
  <cp:lastModifiedBy>Staff/Research Student</cp:lastModifiedBy>
  <cp:revision>2</cp:revision>
  <cp:lastPrinted>2012-12-05T14:41:00Z</cp:lastPrinted>
  <dcterms:created xsi:type="dcterms:W3CDTF">2012-12-06T12:29:00Z</dcterms:created>
  <dcterms:modified xsi:type="dcterms:W3CDTF">2012-12-06T12:29:00Z</dcterms:modified>
</cp:coreProperties>
</file>