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AD" w:rsidRPr="004A22F5" w:rsidRDefault="00A970AD" w:rsidP="00A970AD">
      <w:pPr>
        <w:pStyle w:val="HTML"/>
        <w:spacing w:after="0" w:line="240" w:lineRule="auto"/>
        <w:ind w:right="26"/>
        <w:jc w:val="both"/>
        <w:rPr>
          <w:sz w:val="22"/>
          <w:szCs w:val="22"/>
        </w:rPr>
      </w:pPr>
    </w:p>
    <w:p w:rsidR="00A970AD" w:rsidRPr="00A71F60" w:rsidRDefault="00A970AD" w:rsidP="00A71F60">
      <w:pPr>
        <w:pStyle w:val="Heading1"/>
        <w:tabs>
          <w:tab w:val="left" w:pos="5940"/>
        </w:tabs>
        <w:ind w:left="5040"/>
        <w:jc w:val="right"/>
        <w:rPr>
          <w:sz w:val="22"/>
          <w:szCs w:val="22"/>
        </w:rPr>
      </w:pPr>
      <w:r w:rsidRPr="004A22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5.25pt" fillcolor="window">
            <v:imagedata r:id="rId7" o:title="logotype"/>
          </v:shape>
        </w:pict>
      </w:r>
    </w:p>
    <w:p w:rsidR="00A970AD" w:rsidRPr="00A71F60" w:rsidRDefault="00A94177" w:rsidP="00A970AD">
      <w:pPr>
        <w:rPr>
          <w:b/>
          <w:sz w:val="28"/>
          <w:szCs w:val="28"/>
        </w:rPr>
      </w:pPr>
      <w:r w:rsidRPr="00A71F60">
        <w:rPr>
          <w:b/>
          <w:sz w:val="28"/>
          <w:szCs w:val="28"/>
        </w:rPr>
        <w:t>Learning and Teaching Committee</w:t>
      </w:r>
    </w:p>
    <w:p w:rsidR="000833BA" w:rsidRPr="004A22F5" w:rsidRDefault="000833BA"/>
    <w:p w:rsidR="00D93E79" w:rsidRDefault="00A71F60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 w:rsidR="008B0E7E" w:rsidRPr="004A22F5">
        <w:rPr>
          <w:b/>
        </w:rPr>
        <w:t xml:space="preserve">Action taken on </w:t>
      </w:r>
      <w:r w:rsidR="00A3596A">
        <w:rPr>
          <w:b/>
        </w:rPr>
        <w:t xml:space="preserve">the </w:t>
      </w:r>
      <w:r w:rsidR="00FE0B82">
        <w:rPr>
          <w:b/>
        </w:rPr>
        <w:t>2010</w:t>
      </w:r>
      <w:r w:rsidR="00A970AD" w:rsidRPr="004A22F5">
        <w:rPr>
          <w:b/>
        </w:rPr>
        <w:t xml:space="preserve"> </w:t>
      </w:r>
      <w:r w:rsidR="00D93E79" w:rsidRPr="004A22F5">
        <w:rPr>
          <w:b/>
        </w:rPr>
        <w:t>NSS Results</w:t>
      </w:r>
    </w:p>
    <w:p w:rsidR="00A71F60" w:rsidRDefault="00A71F60">
      <w:pPr>
        <w:rPr>
          <w:b/>
        </w:rPr>
      </w:pPr>
    </w:p>
    <w:p w:rsidR="00A71F60" w:rsidRPr="004A22F5" w:rsidRDefault="00FE0B82" w:rsidP="00A3596A">
      <w:pPr>
        <w:ind w:left="1418" w:hanging="1418"/>
        <w:rPr>
          <w:b/>
        </w:rPr>
      </w:pPr>
      <w:r>
        <w:rPr>
          <w:b/>
        </w:rPr>
        <w:t>Origin:</w:t>
      </w:r>
      <w:r>
        <w:rPr>
          <w:b/>
        </w:rPr>
        <w:tab/>
        <w:t>Rob Pearson</w:t>
      </w:r>
      <w:r w:rsidR="00A3596A">
        <w:rPr>
          <w:b/>
        </w:rPr>
        <w:t>, Programme Quality and Teaching Partnerships</w:t>
      </w:r>
    </w:p>
    <w:p w:rsidR="00A970AD" w:rsidRPr="004A22F5" w:rsidRDefault="00A970AD">
      <w:pPr>
        <w:pBdr>
          <w:bottom w:val="single" w:sz="12" w:space="1" w:color="auto"/>
        </w:pBdr>
        <w:rPr>
          <w:b/>
        </w:rPr>
      </w:pPr>
    </w:p>
    <w:p w:rsidR="00D93E79" w:rsidRPr="004A22F5" w:rsidRDefault="00D93E79">
      <w:pPr>
        <w:rPr>
          <w:b/>
          <w:sz w:val="22"/>
          <w:szCs w:val="22"/>
        </w:rPr>
      </w:pPr>
    </w:p>
    <w:p w:rsidR="00A3596A" w:rsidRDefault="00A3596A" w:rsidP="002A54D8">
      <w:pPr>
        <w:rPr>
          <w:sz w:val="22"/>
          <w:szCs w:val="22"/>
        </w:rPr>
      </w:pPr>
    </w:p>
    <w:p w:rsidR="00D93E79" w:rsidRPr="002A54D8" w:rsidRDefault="00D93E79" w:rsidP="002A54D8">
      <w:pPr>
        <w:rPr>
          <w:rFonts w:cs="Arial"/>
          <w:sz w:val="22"/>
          <w:szCs w:val="22"/>
        </w:rPr>
      </w:pPr>
      <w:r w:rsidRPr="004A22F5">
        <w:rPr>
          <w:sz w:val="22"/>
          <w:szCs w:val="22"/>
        </w:rPr>
        <w:t>The 2</w:t>
      </w:r>
      <w:r w:rsidR="00FE0B82">
        <w:rPr>
          <w:sz w:val="22"/>
          <w:szCs w:val="22"/>
        </w:rPr>
        <w:t>010</w:t>
      </w:r>
      <w:r w:rsidRPr="004A22F5">
        <w:rPr>
          <w:sz w:val="22"/>
          <w:szCs w:val="22"/>
        </w:rPr>
        <w:t xml:space="preserve"> NSS results were released over the summer, starting on 2</w:t>
      </w:r>
      <w:r w:rsidR="00FE0B82">
        <w:rPr>
          <w:sz w:val="22"/>
          <w:szCs w:val="22"/>
        </w:rPr>
        <w:t>3</w:t>
      </w:r>
      <w:r w:rsidRPr="004A22F5">
        <w:rPr>
          <w:sz w:val="22"/>
          <w:szCs w:val="22"/>
        </w:rPr>
        <w:t xml:space="preserve"> July</w:t>
      </w:r>
      <w:r w:rsidR="00A3596A">
        <w:rPr>
          <w:sz w:val="22"/>
          <w:szCs w:val="22"/>
        </w:rPr>
        <w:t xml:space="preserve"> 2010</w:t>
      </w:r>
      <w:r w:rsidRPr="004A22F5">
        <w:rPr>
          <w:sz w:val="22"/>
          <w:szCs w:val="22"/>
        </w:rPr>
        <w:t xml:space="preserve"> when HEIs were able to preview their own results over the </w:t>
      </w:r>
      <w:proofErr w:type="spellStart"/>
      <w:r w:rsidR="00FE0B82">
        <w:rPr>
          <w:sz w:val="22"/>
          <w:szCs w:val="22"/>
        </w:rPr>
        <w:t>Ipsos</w:t>
      </w:r>
      <w:proofErr w:type="spellEnd"/>
      <w:r w:rsidR="00FE0B82">
        <w:rPr>
          <w:sz w:val="22"/>
          <w:szCs w:val="22"/>
        </w:rPr>
        <w:t xml:space="preserve"> MORI</w:t>
      </w:r>
      <w:r w:rsidR="009C6C7B">
        <w:rPr>
          <w:sz w:val="22"/>
          <w:szCs w:val="22"/>
        </w:rPr>
        <w:t xml:space="preserve"> extranet.  Further </w:t>
      </w:r>
      <w:r w:rsidR="009C6C7B" w:rsidRPr="002A54D8">
        <w:rPr>
          <w:rFonts w:cs="Arial"/>
          <w:sz w:val="22"/>
          <w:szCs w:val="22"/>
        </w:rPr>
        <w:t>data was released over the following weeks</w:t>
      </w:r>
      <w:r w:rsidRPr="002A54D8">
        <w:rPr>
          <w:rFonts w:cs="Arial"/>
          <w:sz w:val="22"/>
          <w:szCs w:val="22"/>
        </w:rPr>
        <w:t>, allowing HEIs to see their results at a high level of detail and with access to students’ comments.</w:t>
      </w:r>
      <w:r w:rsidR="009C6C7B" w:rsidRPr="002A54D8">
        <w:rPr>
          <w:rFonts w:cs="Arial"/>
          <w:sz w:val="22"/>
          <w:szCs w:val="22"/>
        </w:rPr>
        <w:t xml:space="preserve">  The results were published on the </w:t>
      </w:r>
      <w:proofErr w:type="spellStart"/>
      <w:r w:rsidR="009C6C7B" w:rsidRPr="002A54D8">
        <w:rPr>
          <w:rFonts w:cs="Arial"/>
          <w:sz w:val="22"/>
          <w:szCs w:val="22"/>
        </w:rPr>
        <w:t>Unistats</w:t>
      </w:r>
      <w:proofErr w:type="spellEnd"/>
      <w:r w:rsidR="009C6C7B" w:rsidRPr="002A54D8">
        <w:rPr>
          <w:rFonts w:cs="Arial"/>
          <w:sz w:val="22"/>
          <w:szCs w:val="22"/>
        </w:rPr>
        <w:t xml:space="preserve"> website on 18 August.</w:t>
      </w:r>
    </w:p>
    <w:p w:rsidR="002A54D8" w:rsidRPr="002A54D8" w:rsidRDefault="002A54D8" w:rsidP="002A54D8">
      <w:pPr>
        <w:rPr>
          <w:rFonts w:cs="Arial"/>
          <w:sz w:val="22"/>
          <w:szCs w:val="22"/>
        </w:rPr>
      </w:pPr>
    </w:p>
    <w:p w:rsidR="002A54D8" w:rsidRPr="002A54D8" w:rsidRDefault="002A54D8" w:rsidP="002A54D8">
      <w:pPr>
        <w:rPr>
          <w:rFonts w:cs="Arial"/>
          <w:b/>
          <w:sz w:val="22"/>
          <w:szCs w:val="22"/>
        </w:rPr>
      </w:pPr>
      <w:r w:rsidRPr="002A54D8">
        <w:rPr>
          <w:rFonts w:cs="Arial"/>
          <w:b/>
          <w:sz w:val="22"/>
          <w:szCs w:val="22"/>
        </w:rPr>
        <w:t>Outcomes</w:t>
      </w:r>
    </w:p>
    <w:p w:rsidR="002A54D8" w:rsidRPr="002A54D8" w:rsidRDefault="002A54D8" w:rsidP="002A54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54D8">
        <w:rPr>
          <w:rFonts w:ascii="Arial" w:hAnsi="Arial" w:cs="Arial"/>
          <w:sz w:val="22"/>
          <w:szCs w:val="22"/>
        </w:rPr>
        <w:t xml:space="preserve">Loughborough University was again ranked among the UK’s top institutions for student satisfaction. Eighty-nine percent of Loughborough’s undergraduate students, compared with a national average of 82%, were satisfied with their course.  </w:t>
      </w:r>
    </w:p>
    <w:p w:rsidR="002A54D8" w:rsidRPr="002A54D8" w:rsidRDefault="002A54D8" w:rsidP="002A54D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A54D8">
        <w:rPr>
          <w:rFonts w:ascii="Arial" w:hAnsi="Arial" w:cs="Arial"/>
          <w:sz w:val="22"/>
          <w:szCs w:val="22"/>
        </w:rPr>
        <w:t>Loughborough achieved a response rate of 76% to the survey, considerably higher than the national average of 63.1%.</w:t>
      </w:r>
    </w:p>
    <w:p w:rsidR="00D93E79" w:rsidRPr="002A54D8" w:rsidRDefault="00D93E79" w:rsidP="002A54D8">
      <w:pPr>
        <w:rPr>
          <w:rFonts w:cs="Arial"/>
          <w:sz w:val="22"/>
          <w:szCs w:val="22"/>
        </w:rPr>
      </w:pPr>
    </w:p>
    <w:p w:rsidR="00D93E79" w:rsidRPr="002A54D8" w:rsidRDefault="009C6C7B" w:rsidP="002A54D8">
      <w:pPr>
        <w:rPr>
          <w:rFonts w:cs="Arial"/>
          <w:b/>
          <w:sz w:val="22"/>
          <w:szCs w:val="22"/>
        </w:rPr>
      </w:pPr>
      <w:r w:rsidRPr="002A54D8">
        <w:rPr>
          <w:rFonts w:cs="Arial"/>
          <w:b/>
          <w:sz w:val="22"/>
          <w:szCs w:val="22"/>
        </w:rPr>
        <w:t>Circulation</w:t>
      </w:r>
      <w:r w:rsidR="00226773" w:rsidRPr="002A54D8">
        <w:rPr>
          <w:rFonts w:cs="Arial"/>
          <w:b/>
          <w:sz w:val="22"/>
          <w:szCs w:val="22"/>
        </w:rPr>
        <w:t xml:space="preserve"> of results</w:t>
      </w:r>
      <w:r w:rsidRPr="002A54D8">
        <w:rPr>
          <w:rFonts w:cs="Arial"/>
          <w:b/>
          <w:sz w:val="22"/>
          <w:szCs w:val="22"/>
        </w:rPr>
        <w:t xml:space="preserve"> to Departments</w:t>
      </w:r>
    </w:p>
    <w:p w:rsidR="00113CE6" w:rsidRPr="00113CE6" w:rsidRDefault="00DF32B1" w:rsidP="002A54D8">
      <w:pPr>
        <w:rPr>
          <w:rFonts w:cs="Arial"/>
          <w:color w:val="000000"/>
          <w:sz w:val="22"/>
          <w:szCs w:val="22"/>
        </w:rPr>
      </w:pPr>
      <w:r w:rsidRPr="002A54D8">
        <w:rPr>
          <w:rFonts w:cs="Arial"/>
          <w:sz w:val="22"/>
          <w:szCs w:val="22"/>
        </w:rPr>
        <w:t>In mid-September the Planning Office provided Departments with an analysis of the</w:t>
      </w:r>
      <w:r w:rsidR="00226773" w:rsidRPr="002A54D8">
        <w:rPr>
          <w:rFonts w:cs="Arial"/>
          <w:sz w:val="22"/>
          <w:szCs w:val="22"/>
        </w:rPr>
        <w:t xml:space="preserve"> quantitative data </w:t>
      </w:r>
      <w:r w:rsidRPr="002A54D8">
        <w:rPr>
          <w:rFonts w:cs="Arial"/>
          <w:sz w:val="22"/>
          <w:szCs w:val="22"/>
        </w:rPr>
        <w:t xml:space="preserve">to enable </w:t>
      </w:r>
      <w:r w:rsidR="00113CE6" w:rsidRPr="002A54D8">
        <w:rPr>
          <w:rFonts w:cs="Arial"/>
          <w:sz w:val="22"/>
          <w:szCs w:val="22"/>
        </w:rPr>
        <w:t>them to</w:t>
      </w:r>
      <w:r w:rsidRPr="002A54D8">
        <w:rPr>
          <w:rFonts w:cs="Arial"/>
          <w:color w:val="000000"/>
          <w:sz w:val="22"/>
          <w:szCs w:val="22"/>
        </w:rPr>
        <w:t xml:space="preserve"> review </w:t>
      </w:r>
      <w:r w:rsidR="00113CE6" w:rsidRPr="002A54D8">
        <w:rPr>
          <w:rFonts w:cs="Arial"/>
          <w:color w:val="000000"/>
          <w:sz w:val="22"/>
          <w:szCs w:val="22"/>
        </w:rPr>
        <w:t>thei</w:t>
      </w:r>
      <w:r w:rsidRPr="002A54D8">
        <w:rPr>
          <w:rFonts w:cs="Arial"/>
          <w:color w:val="000000"/>
          <w:sz w:val="22"/>
          <w:szCs w:val="22"/>
        </w:rPr>
        <w:t>r department / subject area’s performance</w:t>
      </w:r>
      <w:r w:rsidRPr="00113CE6">
        <w:rPr>
          <w:rFonts w:cs="Arial"/>
          <w:color w:val="000000"/>
          <w:sz w:val="22"/>
          <w:szCs w:val="22"/>
        </w:rPr>
        <w:t>, and also to review how this compare</w:t>
      </w:r>
      <w:r w:rsidR="00113CE6" w:rsidRPr="00113CE6">
        <w:rPr>
          <w:rFonts w:cs="Arial"/>
          <w:color w:val="000000"/>
          <w:sz w:val="22"/>
          <w:szCs w:val="22"/>
        </w:rPr>
        <w:t>d</w:t>
      </w:r>
      <w:r w:rsidRPr="00113CE6">
        <w:rPr>
          <w:rFonts w:cs="Arial"/>
          <w:color w:val="000000"/>
          <w:sz w:val="22"/>
          <w:szCs w:val="22"/>
        </w:rPr>
        <w:t xml:space="preserve"> with other institutions. </w:t>
      </w:r>
      <w:r w:rsidR="00113CE6" w:rsidRPr="00113CE6">
        <w:rPr>
          <w:rFonts w:cs="Arial"/>
          <w:color w:val="000000"/>
          <w:sz w:val="22"/>
          <w:szCs w:val="22"/>
        </w:rPr>
        <w:t>This included:</w:t>
      </w:r>
    </w:p>
    <w:p w:rsidR="00113CE6" w:rsidRPr="00113CE6" w:rsidRDefault="00113CE6" w:rsidP="00113CE6">
      <w:pPr>
        <w:rPr>
          <w:rFonts w:cs="Arial"/>
          <w:color w:val="000000"/>
          <w:sz w:val="22"/>
          <w:szCs w:val="22"/>
        </w:rPr>
      </w:pPr>
    </w:p>
    <w:p w:rsidR="00113CE6" w:rsidRPr="00113CE6" w:rsidRDefault="00DF32B1" w:rsidP="00DF32B1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proofErr w:type="gramStart"/>
      <w:r w:rsidRPr="00113CE6">
        <w:rPr>
          <w:rFonts w:cs="Arial"/>
          <w:color w:val="000000"/>
          <w:sz w:val="22"/>
          <w:szCs w:val="22"/>
        </w:rPr>
        <w:t>results</w:t>
      </w:r>
      <w:proofErr w:type="gramEnd"/>
      <w:r w:rsidRPr="00113CE6">
        <w:rPr>
          <w:rFonts w:cs="Arial"/>
          <w:color w:val="000000"/>
          <w:sz w:val="22"/>
          <w:szCs w:val="22"/>
        </w:rPr>
        <w:t xml:space="preserve"> for Loughborough for each of the 22 questions – ranked out of all institutions offering that subject (as a Full time First Degree).</w:t>
      </w:r>
    </w:p>
    <w:p w:rsidR="00DF32B1" w:rsidRPr="00113CE6" w:rsidRDefault="00DF32B1" w:rsidP="00DF32B1">
      <w:pPr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proofErr w:type="gramStart"/>
      <w:r w:rsidRPr="00113CE6">
        <w:rPr>
          <w:rFonts w:cs="Arial"/>
          <w:color w:val="000000"/>
          <w:sz w:val="22"/>
          <w:szCs w:val="22"/>
        </w:rPr>
        <w:t>subject</w:t>
      </w:r>
      <w:proofErr w:type="gramEnd"/>
      <w:r w:rsidRPr="00113CE6">
        <w:rPr>
          <w:rFonts w:cs="Arial"/>
          <w:color w:val="000000"/>
          <w:sz w:val="22"/>
          <w:szCs w:val="22"/>
        </w:rPr>
        <w:t xml:space="preserve"> area data, </w:t>
      </w:r>
      <w:r w:rsidR="00113CE6" w:rsidRPr="00113CE6">
        <w:rPr>
          <w:rFonts w:cs="Arial"/>
          <w:color w:val="000000"/>
          <w:sz w:val="22"/>
          <w:szCs w:val="22"/>
        </w:rPr>
        <w:t>providing</w:t>
      </w:r>
      <w:r w:rsidRPr="00113CE6">
        <w:rPr>
          <w:rFonts w:cs="Arial"/>
          <w:color w:val="000000"/>
          <w:sz w:val="22"/>
          <w:szCs w:val="22"/>
        </w:rPr>
        <w:t xml:space="preserve"> information on the gap between Loughborough’s position and the 1</w:t>
      </w:r>
      <w:r w:rsidRPr="00113CE6">
        <w:rPr>
          <w:rFonts w:cs="Arial"/>
          <w:color w:val="000000"/>
          <w:sz w:val="22"/>
          <w:szCs w:val="22"/>
          <w:vertAlign w:val="superscript"/>
        </w:rPr>
        <w:t>st</w:t>
      </w:r>
      <w:r w:rsidRPr="00113CE6">
        <w:rPr>
          <w:rFonts w:cs="Arial"/>
          <w:color w:val="000000"/>
          <w:sz w:val="22"/>
          <w:szCs w:val="22"/>
        </w:rPr>
        <w:t xml:space="preserve"> placed institution</w:t>
      </w:r>
      <w:r w:rsidR="00113CE6" w:rsidRPr="00113CE6">
        <w:rPr>
          <w:rFonts w:cs="Arial"/>
          <w:color w:val="000000"/>
          <w:sz w:val="22"/>
          <w:szCs w:val="22"/>
        </w:rPr>
        <w:t>.</w:t>
      </w:r>
      <w:r w:rsidRPr="00113CE6">
        <w:rPr>
          <w:rFonts w:cs="Arial"/>
          <w:color w:val="000000"/>
          <w:sz w:val="22"/>
          <w:szCs w:val="22"/>
        </w:rPr>
        <w:t xml:space="preserve"> </w:t>
      </w:r>
    </w:p>
    <w:p w:rsidR="00DF32B1" w:rsidRPr="00113CE6" w:rsidRDefault="00DF32B1" w:rsidP="00DF32B1">
      <w:pPr>
        <w:rPr>
          <w:rFonts w:cs="Arial"/>
          <w:color w:val="000000"/>
          <w:sz w:val="22"/>
          <w:szCs w:val="22"/>
        </w:rPr>
      </w:pPr>
    </w:p>
    <w:p w:rsidR="009C6C7B" w:rsidRDefault="009C6C7B">
      <w:pPr>
        <w:rPr>
          <w:b/>
          <w:sz w:val="22"/>
          <w:szCs w:val="22"/>
        </w:rPr>
      </w:pPr>
      <w:r w:rsidRPr="009C6C7B">
        <w:rPr>
          <w:b/>
          <w:sz w:val="22"/>
          <w:szCs w:val="22"/>
        </w:rPr>
        <w:t>Teaching Centre Analysis</w:t>
      </w:r>
    </w:p>
    <w:p w:rsidR="00226773" w:rsidRDefault="00226773" w:rsidP="00226773">
      <w:pPr>
        <w:rPr>
          <w:sz w:val="22"/>
        </w:rPr>
      </w:pPr>
      <w:r>
        <w:rPr>
          <w:sz w:val="22"/>
        </w:rPr>
        <w:t>The Teaching Centre produced an analysis of the qualitative data</w:t>
      </w:r>
      <w:r w:rsidR="00F24DB9">
        <w:rPr>
          <w:sz w:val="22"/>
        </w:rPr>
        <w:t xml:space="preserve">.  This included </w:t>
      </w:r>
      <w:r>
        <w:rPr>
          <w:sz w:val="22"/>
        </w:rPr>
        <w:t>commentaries</w:t>
      </w:r>
      <w:r w:rsidR="00F24DB9">
        <w:rPr>
          <w:sz w:val="22"/>
        </w:rPr>
        <w:t xml:space="preserve"> which linked the qualitative date</w:t>
      </w:r>
      <w:r>
        <w:rPr>
          <w:sz w:val="22"/>
        </w:rPr>
        <w:t xml:space="preserve"> with some of the quantitative analyses provided by the Planning Office. The Teaching Centre has provided the integrated qualitative analyses to those departments that </w:t>
      </w:r>
      <w:r w:rsidR="00F24DB9">
        <w:rPr>
          <w:sz w:val="22"/>
        </w:rPr>
        <w:t>requested</w:t>
      </w:r>
      <w:r>
        <w:rPr>
          <w:sz w:val="22"/>
        </w:rPr>
        <w:t xml:space="preserve"> them, and ha</w:t>
      </w:r>
      <w:r w:rsidR="000E6754">
        <w:rPr>
          <w:sz w:val="22"/>
        </w:rPr>
        <w:t>s</w:t>
      </w:r>
      <w:r>
        <w:rPr>
          <w:sz w:val="22"/>
        </w:rPr>
        <w:t xml:space="preserve"> sent the Deans the sections for their Faculties.</w:t>
      </w:r>
    </w:p>
    <w:p w:rsidR="009C6C7B" w:rsidRDefault="009C6C7B">
      <w:pPr>
        <w:rPr>
          <w:b/>
          <w:sz w:val="22"/>
          <w:szCs w:val="22"/>
        </w:rPr>
      </w:pPr>
    </w:p>
    <w:p w:rsidR="009C6C7B" w:rsidRDefault="002267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2010 </w:t>
      </w:r>
      <w:r w:rsidR="009C6C7B">
        <w:rPr>
          <w:b/>
          <w:sz w:val="22"/>
          <w:szCs w:val="22"/>
        </w:rPr>
        <w:t xml:space="preserve">NSS </w:t>
      </w:r>
      <w:r>
        <w:rPr>
          <w:b/>
          <w:sz w:val="22"/>
          <w:szCs w:val="22"/>
        </w:rPr>
        <w:t>Results Analysis Group</w:t>
      </w:r>
    </w:p>
    <w:p w:rsidR="00226773" w:rsidRDefault="00036E77">
      <w:pPr>
        <w:rPr>
          <w:sz w:val="22"/>
          <w:szCs w:val="22"/>
        </w:rPr>
      </w:pPr>
      <w:r w:rsidRPr="00036E77">
        <w:rPr>
          <w:sz w:val="22"/>
          <w:szCs w:val="22"/>
        </w:rPr>
        <w:t>The above group met on 29 September 2010 to discuss the outcomes of the 2010 NSS and agree on actions.</w:t>
      </w:r>
      <w:r>
        <w:rPr>
          <w:sz w:val="22"/>
          <w:szCs w:val="22"/>
        </w:rPr>
        <w:t xml:space="preserve">  The group was chaired by the </w:t>
      </w:r>
      <w:proofErr w:type="gramStart"/>
      <w:r>
        <w:rPr>
          <w:sz w:val="22"/>
          <w:szCs w:val="22"/>
        </w:rPr>
        <w:t>PVC(</w:t>
      </w:r>
      <w:proofErr w:type="gramEnd"/>
      <w:r>
        <w:rPr>
          <w:sz w:val="22"/>
          <w:szCs w:val="22"/>
        </w:rPr>
        <w:t>T), and included the ADTs and representatives from the Regist</w:t>
      </w:r>
      <w:r w:rsidR="00EE49D4">
        <w:rPr>
          <w:sz w:val="22"/>
          <w:szCs w:val="22"/>
        </w:rPr>
        <w:t>r</w:t>
      </w:r>
      <w:r>
        <w:rPr>
          <w:sz w:val="22"/>
          <w:szCs w:val="22"/>
        </w:rPr>
        <w:t>y, Planning Office, Teaching Centre and Students’ Union.</w:t>
      </w:r>
    </w:p>
    <w:p w:rsidR="00EE49D4" w:rsidRPr="00036E77" w:rsidRDefault="00EE49D4">
      <w:pPr>
        <w:rPr>
          <w:sz w:val="22"/>
          <w:szCs w:val="22"/>
        </w:rPr>
      </w:pPr>
    </w:p>
    <w:p w:rsidR="002A54D8" w:rsidRDefault="00E7370C" w:rsidP="002A54D8">
      <w:pPr>
        <w:rPr>
          <w:sz w:val="22"/>
          <w:szCs w:val="22"/>
        </w:rPr>
      </w:pPr>
      <w:r w:rsidRPr="004A22F5">
        <w:rPr>
          <w:sz w:val="22"/>
          <w:szCs w:val="22"/>
        </w:rPr>
        <w:t xml:space="preserve">The </w:t>
      </w:r>
      <w:proofErr w:type="gramStart"/>
      <w:r w:rsidRPr="004A22F5">
        <w:rPr>
          <w:sz w:val="22"/>
          <w:szCs w:val="22"/>
        </w:rPr>
        <w:t>AD(</w:t>
      </w:r>
      <w:proofErr w:type="gramEnd"/>
      <w:r w:rsidRPr="004A22F5">
        <w:rPr>
          <w:sz w:val="22"/>
          <w:szCs w:val="22"/>
        </w:rPr>
        <w:t>T)s</w:t>
      </w:r>
      <w:r w:rsidR="000E6754">
        <w:rPr>
          <w:sz w:val="22"/>
          <w:szCs w:val="22"/>
        </w:rPr>
        <w:t xml:space="preserve"> </w:t>
      </w:r>
      <w:r w:rsidRPr="004A22F5">
        <w:rPr>
          <w:sz w:val="22"/>
          <w:szCs w:val="22"/>
        </w:rPr>
        <w:t xml:space="preserve">have instigated meetings with individual HODs and </w:t>
      </w:r>
      <w:r w:rsidR="00F24DB9">
        <w:rPr>
          <w:sz w:val="22"/>
          <w:szCs w:val="22"/>
        </w:rPr>
        <w:t>learning and teaching</w:t>
      </w:r>
      <w:r w:rsidRPr="004A22F5">
        <w:rPr>
          <w:sz w:val="22"/>
          <w:szCs w:val="22"/>
        </w:rPr>
        <w:t xml:space="preserve"> staff for </w:t>
      </w:r>
      <w:r w:rsidR="00F24DB9">
        <w:rPr>
          <w:sz w:val="22"/>
          <w:szCs w:val="22"/>
        </w:rPr>
        <w:t xml:space="preserve">a </w:t>
      </w:r>
      <w:r w:rsidRPr="004A22F5">
        <w:rPr>
          <w:sz w:val="22"/>
          <w:szCs w:val="22"/>
        </w:rPr>
        <w:t>discussion of their results</w:t>
      </w:r>
      <w:r w:rsidR="00F24DB9">
        <w:rPr>
          <w:sz w:val="22"/>
          <w:szCs w:val="22"/>
        </w:rPr>
        <w:t xml:space="preserve"> and the intended departmental responses</w:t>
      </w:r>
      <w:r w:rsidRPr="004A22F5">
        <w:rPr>
          <w:sz w:val="22"/>
          <w:szCs w:val="22"/>
        </w:rPr>
        <w:t xml:space="preserve">.  </w:t>
      </w:r>
      <w:r w:rsidR="002A54D8">
        <w:rPr>
          <w:sz w:val="22"/>
          <w:szCs w:val="22"/>
        </w:rPr>
        <w:t>The group identified the following areas of focus for these discussions:</w:t>
      </w:r>
    </w:p>
    <w:p w:rsidR="002A54D8" w:rsidRDefault="002A54D8" w:rsidP="002A54D8">
      <w:pPr>
        <w:rPr>
          <w:sz w:val="22"/>
          <w:szCs w:val="22"/>
        </w:rPr>
      </w:pPr>
    </w:p>
    <w:p w:rsidR="000E6754" w:rsidRDefault="000E6754" w:rsidP="002A54D8">
      <w:pPr>
        <w:rPr>
          <w:sz w:val="22"/>
          <w:szCs w:val="22"/>
        </w:rPr>
      </w:pPr>
    </w:p>
    <w:p w:rsidR="000E6754" w:rsidRDefault="000E6754" w:rsidP="002A54D8">
      <w:pPr>
        <w:rPr>
          <w:sz w:val="22"/>
          <w:szCs w:val="22"/>
        </w:rPr>
      </w:pPr>
    </w:p>
    <w:p w:rsidR="002A54D8" w:rsidRDefault="002A54D8" w:rsidP="002A54D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Professional skills of teaching staff</w:t>
      </w:r>
    </w:p>
    <w:p w:rsidR="002A54D8" w:rsidRDefault="002A54D8" w:rsidP="002A54D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Programme organisation</w:t>
      </w:r>
    </w:p>
    <w:p w:rsidR="002A54D8" w:rsidRDefault="002A54D8" w:rsidP="002A54D8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Assessment and feedback.</w:t>
      </w:r>
    </w:p>
    <w:p w:rsidR="00E7370C" w:rsidRDefault="00E7370C" w:rsidP="00E7370C">
      <w:pPr>
        <w:rPr>
          <w:sz w:val="22"/>
          <w:szCs w:val="22"/>
        </w:rPr>
      </w:pPr>
    </w:p>
    <w:p w:rsidR="00E7370C" w:rsidRPr="009C6C7B" w:rsidRDefault="00E7370C" w:rsidP="00E7370C">
      <w:pPr>
        <w:rPr>
          <w:sz w:val="22"/>
          <w:szCs w:val="22"/>
        </w:rPr>
      </w:pPr>
      <w:r>
        <w:rPr>
          <w:sz w:val="22"/>
          <w:szCs w:val="22"/>
        </w:rPr>
        <w:t>The Programme Quality Meeting will be discussing the initial outcomes of the ADT meetings with Departments at its meeting on 15 November 2010.</w:t>
      </w:r>
    </w:p>
    <w:p w:rsidR="00A71F60" w:rsidRDefault="00A71F60" w:rsidP="00A71F60">
      <w:pPr>
        <w:rPr>
          <w:rFonts w:cs="Arial"/>
          <w:szCs w:val="20"/>
        </w:rPr>
      </w:pPr>
    </w:p>
    <w:p w:rsidR="002A54D8" w:rsidRPr="002A54D8" w:rsidRDefault="002A54D8">
      <w:pPr>
        <w:rPr>
          <w:b/>
          <w:sz w:val="22"/>
          <w:szCs w:val="22"/>
        </w:rPr>
      </w:pPr>
      <w:r w:rsidRPr="002A54D8">
        <w:rPr>
          <w:b/>
          <w:sz w:val="22"/>
          <w:szCs w:val="22"/>
        </w:rPr>
        <w:t>Data tables</w:t>
      </w:r>
    </w:p>
    <w:p w:rsidR="002A54D8" w:rsidRDefault="002A54D8" w:rsidP="002A54D8">
      <w:pPr>
        <w:rPr>
          <w:sz w:val="22"/>
          <w:szCs w:val="22"/>
        </w:rPr>
      </w:pPr>
      <w:r>
        <w:rPr>
          <w:sz w:val="22"/>
          <w:szCs w:val="22"/>
        </w:rPr>
        <w:t>The following data tables are included in separate Excel files under this agenda item for information:</w:t>
      </w:r>
    </w:p>
    <w:p w:rsidR="002A54D8" w:rsidRDefault="002A54D8" w:rsidP="002A54D8">
      <w:pPr>
        <w:rPr>
          <w:sz w:val="22"/>
          <w:szCs w:val="22"/>
        </w:rPr>
      </w:pPr>
    </w:p>
    <w:p w:rsidR="002A54D8" w:rsidRDefault="00F24DB9" w:rsidP="002A54D8">
      <w:pPr>
        <w:ind w:left="360"/>
        <w:rPr>
          <w:sz w:val="22"/>
          <w:szCs w:val="22"/>
        </w:rPr>
      </w:pPr>
      <w:r>
        <w:rPr>
          <w:sz w:val="22"/>
          <w:szCs w:val="22"/>
        </w:rPr>
        <w:t>LTC10-P66</w:t>
      </w:r>
      <w:r w:rsidR="002A54D8">
        <w:rPr>
          <w:sz w:val="22"/>
          <w:szCs w:val="22"/>
        </w:rPr>
        <w:t>A</w:t>
      </w:r>
    </w:p>
    <w:p w:rsidR="002A54D8" w:rsidRDefault="002A54D8" w:rsidP="002A54D8">
      <w:pPr>
        <w:ind w:left="360"/>
        <w:rPr>
          <w:sz w:val="22"/>
          <w:szCs w:val="22"/>
        </w:rPr>
      </w:pPr>
      <w:r>
        <w:rPr>
          <w:sz w:val="22"/>
          <w:szCs w:val="22"/>
        </w:rPr>
        <w:t>LU results, on basis of mean score, all questions, 2007, 2008, 2009</w:t>
      </w:r>
      <w:r w:rsidR="00F24DB9">
        <w:rPr>
          <w:sz w:val="22"/>
          <w:szCs w:val="22"/>
        </w:rPr>
        <w:t xml:space="preserve">, </w:t>
      </w:r>
      <w:proofErr w:type="gramStart"/>
      <w:r w:rsidR="00F24DB9">
        <w:rPr>
          <w:sz w:val="22"/>
          <w:szCs w:val="22"/>
        </w:rPr>
        <w:t>2010</w:t>
      </w:r>
      <w:proofErr w:type="gramEnd"/>
    </w:p>
    <w:p w:rsidR="002A54D8" w:rsidRDefault="002A54D8" w:rsidP="002A54D8">
      <w:pPr>
        <w:ind w:left="360"/>
        <w:rPr>
          <w:sz w:val="22"/>
          <w:szCs w:val="22"/>
        </w:rPr>
      </w:pPr>
    </w:p>
    <w:p w:rsidR="002A54D8" w:rsidRDefault="00F24DB9" w:rsidP="002A54D8">
      <w:pPr>
        <w:ind w:left="360"/>
        <w:rPr>
          <w:sz w:val="22"/>
          <w:szCs w:val="22"/>
        </w:rPr>
      </w:pPr>
      <w:r>
        <w:rPr>
          <w:sz w:val="22"/>
          <w:szCs w:val="22"/>
        </w:rPr>
        <w:t>LTC10-P66</w:t>
      </w:r>
      <w:r w:rsidR="00704069">
        <w:rPr>
          <w:sz w:val="22"/>
          <w:szCs w:val="22"/>
        </w:rPr>
        <w:t>B</w:t>
      </w:r>
    </w:p>
    <w:p w:rsidR="002A54D8" w:rsidRDefault="002A54D8" w:rsidP="002A54D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LU rankings within subject areas on basis of Q.22 only, by mean score and % agree </w:t>
      </w:r>
    </w:p>
    <w:p w:rsidR="002A54D8" w:rsidRDefault="002A54D8" w:rsidP="002A54D8">
      <w:pPr>
        <w:tabs>
          <w:tab w:val="left" w:pos="1080"/>
        </w:tabs>
        <w:ind w:left="360"/>
        <w:rPr>
          <w:sz w:val="22"/>
          <w:szCs w:val="22"/>
        </w:rPr>
      </w:pPr>
    </w:p>
    <w:p w:rsidR="002A54D8" w:rsidRPr="004A22F5" w:rsidRDefault="002A54D8">
      <w:pPr>
        <w:rPr>
          <w:sz w:val="22"/>
          <w:szCs w:val="22"/>
        </w:rPr>
      </w:pPr>
    </w:p>
    <w:sectPr w:rsidR="002A54D8" w:rsidRPr="004A2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92" w:rsidRDefault="00412292">
      <w:r>
        <w:separator/>
      </w:r>
    </w:p>
  </w:endnote>
  <w:endnote w:type="continuationSeparator" w:id="0">
    <w:p w:rsidR="00412292" w:rsidRDefault="0041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6A" w:rsidRDefault="00A359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6A" w:rsidRDefault="00A359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6A" w:rsidRDefault="00A35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92" w:rsidRDefault="00412292">
      <w:r>
        <w:separator/>
      </w:r>
    </w:p>
  </w:footnote>
  <w:footnote w:type="continuationSeparator" w:id="0">
    <w:p w:rsidR="00412292" w:rsidRDefault="0041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6A" w:rsidRDefault="00A359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6A" w:rsidRDefault="00A3596A" w:rsidP="00370A38">
    <w:pPr>
      <w:pStyle w:val="Header"/>
      <w:jc w:val="right"/>
      <w:rPr>
        <w:rFonts w:cs="Arial"/>
        <w:sz w:val="22"/>
        <w:szCs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cs="Arial"/>
        <w:sz w:val="22"/>
        <w:szCs w:val="22"/>
      </w:rPr>
      <w:t>LTC10-P66</w:t>
    </w:r>
  </w:p>
  <w:p w:rsidR="00A3596A" w:rsidRPr="00D14A64" w:rsidRDefault="00A3596A" w:rsidP="00370A38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4 November 2010</w:t>
    </w:r>
  </w:p>
  <w:p w:rsidR="00A3596A" w:rsidRPr="00C86A2B" w:rsidRDefault="00A3596A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6A" w:rsidRDefault="00A359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DF1"/>
    <w:multiLevelType w:val="hybridMultilevel"/>
    <w:tmpl w:val="DC5C6692"/>
    <w:lvl w:ilvl="0" w:tplc="009E1CF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883498"/>
    <w:multiLevelType w:val="hybridMultilevel"/>
    <w:tmpl w:val="18861E70"/>
    <w:lvl w:ilvl="0" w:tplc="2B0273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653CA"/>
    <w:multiLevelType w:val="hybridMultilevel"/>
    <w:tmpl w:val="7B365892"/>
    <w:lvl w:ilvl="0" w:tplc="009E1CF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6A63F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66F4F"/>
    <w:multiLevelType w:val="hybridMultilevel"/>
    <w:tmpl w:val="EC0AE7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A4322"/>
    <w:multiLevelType w:val="hybridMultilevel"/>
    <w:tmpl w:val="F7D43EAA"/>
    <w:lvl w:ilvl="0" w:tplc="ED6E2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747E"/>
    <w:multiLevelType w:val="hybridMultilevel"/>
    <w:tmpl w:val="CA2C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E79"/>
    <w:rsid w:val="0001296C"/>
    <w:rsid w:val="00013828"/>
    <w:rsid w:val="00020224"/>
    <w:rsid w:val="0002482A"/>
    <w:rsid w:val="000278CF"/>
    <w:rsid w:val="00031354"/>
    <w:rsid w:val="00034943"/>
    <w:rsid w:val="00036E77"/>
    <w:rsid w:val="00037286"/>
    <w:rsid w:val="00041B02"/>
    <w:rsid w:val="0004382D"/>
    <w:rsid w:val="00044377"/>
    <w:rsid w:val="00045B29"/>
    <w:rsid w:val="00046DB6"/>
    <w:rsid w:val="00062E3F"/>
    <w:rsid w:val="000640EF"/>
    <w:rsid w:val="00067D5C"/>
    <w:rsid w:val="000737E4"/>
    <w:rsid w:val="000739FF"/>
    <w:rsid w:val="000833BA"/>
    <w:rsid w:val="000920D6"/>
    <w:rsid w:val="000A1ECD"/>
    <w:rsid w:val="000A20CB"/>
    <w:rsid w:val="000A76C3"/>
    <w:rsid w:val="000C5284"/>
    <w:rsid w:val="000C7F86"/>
    <w:rsid w:val="000E6754"/>
    <w:rsid w:val="001044CE"/>
    <w:rsid w:val="00113CE6"/>
    <w:rsid w:val="00126D3C"/>
    <w:rsid w:val="00132B85"/>
    <w:rsid w:val="00136A27"/>
    <w:rsid w:val="00160721"/>
    <w:rsid w:val="00166E0F"/>
    <w:rsid w:val="001731F2"/>
    <w:rsid w:val="0017625C"/>
    <w:rsid w:val="00191473"/>
    <w:rsid w:val="00193245"/>
    <w:rsid w:val="00197B60"/>
    <w:rsid w:val="001A0AB7"/>
    <w:rsid w:val="001A1E10"/>
    <w:rsid w:val="001A41DB"/>
    <w:rsid w:val="001A6EF6"/>
    <w:rsid w:val="001B23D0"/>
    <w:rsid w:val="001B5DBD"/>
    <w:rsid w:val="001C5966"/>
    <w:rsid w:val="001D075A"/>
    <w:rsid w:val="001D7AFB"/>
    <w:rsid w:val="001E310E"/>
    <w:rsid w:val="001F2AE9"/>
    <w:rsid w:val="001F2D65"/>
    <w:rsid w:val="001F35FE"/>
    <w:rsid w:val="001F4580"/>
    <w:rsid w:val="00202FD7"/>
    <w:rsid w:val="00206868"/>
    <w:rsid w:val="00206B60"/>
    <w:rsid w:val="0021068D"/>
    <w:rsid w:val="00226773"/>
    <w:rsid w:val="00231BEA"/>
    <w:rsid w:val="002374A6"/>
    <w:rsid w:val="002457BA"/>
    <w:rsid w:val="002510A6"/>
    <w:rsid w:val="00251898"/>
    <w:rsid w:val="00251BBB"/>
    <w:rsid w:val="0025279B"/>
    <w:rsid w:val="00253869"/>
    <w:rsid w:val="00263231"/>
    <w:rsid w:val="00280000"/>
    <w:rsid w:val="002809D5"/>
    <w:rsid w:val="002857C7"/>
    <w:rsid w:val="00292A66"/>
    <w:rsid w:val="002966CB"/>
    <w:rsid w:val="002A2319"/>
    <w:rsid w:val="002A256C"/>
    <w:rsid w:val="002A54D8"/>
    <w:rsid w:val="002B54B3"/>
    <w:rsid w:val="002C3175"/>
    <w:rsid w:val="002C47D3"/>
    <w:rsid w:val="002D5781"/>
    <w:rsid w:val="002E132B"/>
    <w:rsid w:val="002E16CB"/>
    <w:rsid w:val="002F71AA"/>
    <w:rsid w:val="00301168"/>
    <w:rsid w:val="00302358"/>
    <w:rsid w:val="00305938"/>
    <w:rsid w:val="0031329E"/>
    <w:rsid w:val="00321023"/>
    <w:rsid w:val="00325A1E"/>
    <w:rsid w:val="0033595E"/>
    <w:rsid w:val="003360F4"/>
    <w:rsid w:val="00337E56"/>
    <w:rsid w:val="00347EF0"/>
    <w:rsid w:val="0035142A"/>
    <w:rsid w:val="00352F2B"/>
    <w:rsid w:val="00353E71"/>
    <w:rsid w:val="00355D54"/>
    <w:rsid w:val="003639D9"/>
    <w:rsid w:val="00364680"/>
    <w:rsid w:val="00370A38"/>
    <w:rsid w:val="0037350A"/>
    <w:rsid w:val="00385BE8"/>
    <w:rsid w:val="00392CD2"/>
    <w:rsid w:val="003975E2"/>
    <w:rsid w:val="003A77E5"/>
    <w:rsid w:val="003B111F"/>
    <w:rsid w:val="003D0011"/>
    <w:rsid w:val="003D411D"/>
    <w:rsid w:val="003D4680"/>
    <w:rsid w:val="003D5D7F"/>
    <w:rsid w:val="003F039A"/>
    <w:rsid w:val="004019E4"/>
    <w:rsid w:val="00406347"/>
    <w:rsid w:val="00412292"/>
    <w:rsid w:val="004223C5"/>
    <w:rsid w:val="00426E65"/>
    <w:rsid w:val="00432A82"/>
    <w:rsid w:val="00434CB2"/>
    <w:rsid w:val="004462DB"/>
    <w:rsid w:val="00460221"/>
    <w:rsid w:val="00461249"/>
    <w:rsid w:val="00463BED"/>
    <w:rsid w:val="00465AB4"/>
    <w:rsid w:val="00467FCB"/>
    <w:rsid w:val="00474582"/>
    <w:rsid w:val="004856C4"/>
    <w:rsid w:val="00497C7B"/>
    <w:rsid w:val="004A196C"/>
    <w:rsid w:val="004A22F5"/>
    <w:rsid w:val="004B0699"/>
    <w:rsid w:val="004B33F1"/>
    <w:rsid w:val="004C1264"/>
    <w:rsid w:val="004C20C5"/>
    <w:rsid w:val="004C3433"/>
    <w:rsid w:val="004C4C81"/>
    <w:rsid w:val="004D00C8"/>
    <w:rsid w:val="004D650B"/>
    <w:rsid w:val="004E7E56"/>
    <w:rsid w:val="004F448C"/>
    <w:rsid w:val="004F54CD"/>
    <w:rsid w:val="004F7983"/>
    <w:rsid w:val="005117D1"/>
    <w:rsid w:val="0053159F"/>
    <w:rsid w:val="00541FDC"/>
    <w:rsid w:val="005431E4"/>
    <w:rsid w:val="005545C8"/>
    <w:rsid w:val="00581960"/>
    <w:rsid w:val="00584BD5"/>
    <w:rsid w:val="00587407"/>
    <w:rsid w:val="00591883"/>
    <w:rsid w:val="005A0C5F"/>
    <w:rsid w:val="005B1EBA"/>
    <w:rsid w:val="005C1C24"/>
    <w:rsid w:val="005C7547"/>
    <w:rsid w:val="005D3C11"/>
    <w:rsid w:val="005E5894"/>
    <w:rsid w:val="005F31A1"/>
    <w:rsid w:val="005F734E"/>
    <w:rsid w:val="00610982"/>
    <w:rsid w:val="00611037"/>
    <w:rsid w:val="006114BA"/>
    <w:rsid w:val="00612B99"/>
    <w:rsid w:val="00615607"/>
    <w:rsid w:val="00617DC7"/>
    <w:rsid w:val="00626BA4"/>
    <w:rsid w:val="00640C55"/>
    <w:rsid w:val="00650002"/>
    <w:rsid w:val="00663C15"/>
    <w:rsid w:val="006707ED"/>
    <w:rsid w:val="00683698"/>
    <w:rsid w:val="00691978"/>
    <w:rsid w:val="006A6A53"/>
    <w:rsid w:val="006B5B60"/>
    <w:rsid w:val="006C40B4"/>
    <w:rsid w:val="006D40CC"/>
    <w:rsid w:val="006F209A"/>
    <w:rsid w:val="006F5179"/>
    <w:rsid w:val="006F782B"/>
    <w:rsid w:val="00704069"/>
    <w:rsid w:val="007041DD"/>
    <w:rsid w:val="00705C3F"/>
    <w:rsid w:val="00707EB8"/>
    <w:rsid w:val="00710855"/>
    <w:rsid w:val="00716231"/>
    <w:rsid w:val="00726956"/>
    <w:rsid w:val="007412A6"/>
    <w:rsid w:val="00741AE6"/>
    <w:rsid w:val="007519C7"/>
    <w:rsid w:val="00756822"/>
    <w:rsid w:val="007807A1"/>
    <w:rsid w:val="00782085"/>
    <w:rsid w:val="0078740F"/>
    <w:rsid w:val="007A0A87"/>
    <w:rsid w:val="007A199A"/>
    <w:rsid w:val="007D087D"/>
    <w:rsid w:val="007E2008"/>
    <w:rsid w:val="007E2803"/>
    <w:rsid w:val="007F3908"/>
    <w:rsid w:val="007F7C64"/>
    <w:rsid w:val="008065FE"/>
    <w:rsid w:val="00811822"/>
    <w:rsid w:val="00824ECE"/>
    <w:rsid w:val="008309FC"/>
    <w:rsid w:val="008433BC"/>
    <w:rsid w:val="0084702D"/>
    <w:rsid w:val="00851632"/>
    <w:rsid w:val="008547B8"/>
    <w:rsid w:val="008702ED"/>
    <w:rsid w:val="00872AA5"/>
    <w:rsid w:val="008B0E7E"/>
    <w:rsid w:val="008B7BDC"/>
    <w:rsid w:val="008C02A5"/>
    <w:rsid w:val="008C05FB"/>
    <w:rsid w:val="008C2947"/>
    <w:rsid w:val="008C3CD1"/>
    <w:rsid w:val="008C7F99"/>
    <w:rsid w:val="008D55F2"/>
    <w:rsid w:val="008E038D"/>
    <w:rsid w:val="008E5242"/>
    <w:rsid w:val="008F0909"/>
    <w:rsid w:val="008F32BC"/>
    <w:rsid w:val="00900A1E"/>
    <w:rsid w:val="00903577"/>
    <w:rsid w:val="00914521"/>
    <w:rsid w:val="00921C02"/>
    <w:rsid w:val="009304BF"/>
    <w:rsid w:val="00933A74"/>
    <w:rsid w:val="00934EC0"/>
    <w:rsid w:val="00935BA3"/>
    <w:rsid w:val="0093741A"/>
    <w:rsid w:val="0095007B"/>
    <w:rsid w:val="00961B62"/>
    <w:rsid w:val="00966E88"/>
    <w:rsid w:val="00986CBE"/>
    <w:rsid w:val="009B2EBD"/>
    <w:rsid w:val="009B5E38"/>
    <w:rsid w:val="009B6DC1"/>
    <w:rsid w:val="009C00B8"/>
    <w:rsid w:val="009C103E"/>
    <w:rsid w:val="009C62D3"/>
    <w:rsid w:val="009C6C7B"/>
    <w:rsid w:val="009D1991"/>
    <w:rsid w:val="009D19EE"/>
    <w:rsid w:val="009D2AFE"/>
    <w:rsid w:val="009D2B74"/>
    <w:rsid w:val="009D5DAD"/>
    <w:rsid w:val="009D6241"/>
    <w:rsid w:val="009E098F"/>
    <w:rsid w:val="009E4468"/>
    <w:rsid w:val="009F757E"/>
    <w:rsid w:val="00A01750"/>
    <w:rsid w:val="00A069A2"/>
    <w:rsid w:val="00A07405"/>
    <w:rsid w:val="00A171F8"/>
    <w:rsid w:val="00A226EB"/>
    <w:rsid w:val="00A2734F"/>
    <w:rsid w:val="00A3596A"/>
    <w:rsid w:val="00A35999"/>
    <w:rsid w:val="00A56728"/>
    <w:rsid w:val="00A71F60"/>
    <w:rsid w:val="00A85A74"/>
    <w:rsid w:val="00A86455"/>
    <w:rsid w:val="00A87BC3"/>
    <w:rsid w:val="00A94177"/>
    <w:rsid w:val="00A95F6B"/>
    <w:rsid w:val="00A96097"/>
    <w:rsid w:val="00A970AD"/>
    <w:rsid w:val="00AB4D4C"/>
    <w:rsid w:val="00AB788E"/>
    <w:rsid w:val="00AC0F21"/>
    <w:rsid w:val="00AC2533"/>
    <w:rsid w:val="00AC3E0E"/>
    <w:rsid w:val="00AC472B"/>
    <w:rsid w:val="00AC6DE0"/>
    <w:rsid w:val="00AD0AE4"/>
    <w:rsid w:val="00AD3AFC"/>
    <w:rsid w:val="00AD6467"/>
    <w:rsid w:val="00AD704E"/>
    <w:rsid w:val="00AE2A9C"/>
    <w:rsid w:val="00AE5FC4"/>
    <w:rsid w:val="00AF70E0"/>
    <w:rsid w:val="00B0018E"/>
    <w:rsid w:val="00B1111C"/>
    <w:rsid w:val="00B158EA"/>
    <w:rsid w:val="00B214B1"/>
    <w:rsid w:val="00B256D1"/>
    <w:rsid w:val="00B2668F"/>
    <w:rsid w:val="00B3339F"/>
    <w:rsid w:val="00B358D2"/>
    <w:rsid w:val="00B40FA8"/>
    <w:rsid w:val="00B57582"/>
    <w:rsid w:val="00B65621"/>
    <w:rsid w:val="00B702A3"/>
    <w:rsid w:val="00B70B74"/>
    <w:rsid w:val="00B747FA"/>
    <w:rsid w:val="00B81065"/>
    <w:rsid w:val="00B9338E"/>
    <w:rsid w:val="00B9514A"/>
    <w:rsid w:val="00BA6A27"/>
    <w:rsid w:val="00BA7016"/>
    <w:rsid w:val="00BB12A8"/>
    <w:rsid w:val="00BC22C4"/>
    <w:rsid w:val="00BE15AE"/>
    <w:rsid w:val="00BF115E"/>
    <w:rsid w:val="00BF1470"/>
    <w:rsid w:val="00BF2918"/>
    <w:rsid w:val="00C0079C"/>
    <w:rsid w:val="00C03BDC"/>
    <w:rsid w:val="00C05621"/>
    <w:rsid w:val="00C07F65"/>
    <w:rsid w:val="00C10DE6"/>
    <w:rsid w:val="00C13EBC"/>
    <w:rsid w:val="00C1558F"/>
    <w:rsid w:val="00C21351"/>
    <w:rsid w:val="00C24B34"/>
    <w:rsid w:val="00C32907"/>
    <w:rsid w:val="00C54739"/>
    <w:rsid w:val="00C63101"/>
    <w:rsid w:val="00C6314B"/>
    <w:rsid w:val="00C64098"/>
    <w:rsid w:val="00C670A1"/>
    <w:rsid w:val="00C73F6F"/>
    <w:rsid w:val="00C74161"/>
    <w:rsid w:val="00C74965"/>
    <w:rsid w:val="00C75A20"/>
    <w:rsid w:val="00C86A2B"/>
    <w:rsid w:val="00C9220E"/>
    <w:rsid w:val="00CA2B9F"/>
    <w:rsid w:val="00CA334B"/>
    <w:rsid w:val="00CC7548"/>
    <w:rsid w:val="00CC7EC5"/>
    <w:rsid w:val="00CD0884"/>
    <w:rsid w:val="00CE7730"/>
    <w:rsid w:val="00CF1CB5"/>
    <w:rsid w:val="00CF2F05"/>
    <w:rsid w:val="00CF6520"/>
    <w:rsid w:val="00D01CBE"/>
    <w:rsid w:val="00D07E6E"/>
    <w:rsid w:val="00D11389"/>
    <w:rsid w:val="00D2421C"/>
    <w:rsid w:val="00D304B6"/>
    <w:rsid w:val="00D37D08"/>
    <w:rsid w:val="00D40B53"/>
    <w:rsid w:val="00D45FA5"/>
    <w:rsid w:val="00D50EA9"/>
    <w:rsid w:val="00D5120A"/>
    <w:rsid w:val="00D53955"/>
    <w:rsid w:val="00D64A1A"/>
    <w:rsid w:val="00D66290"/>
    <w:rsid w:val="00D67498"/>
    <w:rsid w:val="00D85230"/>
    <w:rsid w:val="00D86DF5"/>
    <w:rsid w:val="00D93E79"/>
    <w:rsid w:val="00D9665A"/>
    <w:rsid w:val="00D97ED9"/>
    <w:rsid w:val="00DA1D99"/>
    <w:rsid w:val="00DA56CB"/>
    <w:rsid w:val="00DB4BF9"/>
    <w:rsid w:val="00DB7210"/>
    <w:rsid w:val="00DC58E7"/>
    <w:rsid w:val="00DC6216"/>
    <w:rsid w:val="00DD6A56"/>
    <w:rsid w:val="00DE4CEF"/>
    <w:rsid w:val="00DF24E4"/>
    <w:rsid w:val="00DF32B1"/>
    <w:rsid w:val="00DF7C81"/>
    <w:rsid w:val="00E032E8"/>
    <w:rsid w:val="00E05980"/>
    <w:rsid w:val="00E0631A"/>
    <w:rsid w:val="00E11FF6"/>
    <w:rsid w:val="00E1786D"/>
    <w:rsid w:val="00E22F57"/>
    <w:rsid w:val="00E4002A"/>
    <w:rsid w:val="00E464A1"/>
    <w:rsid w:val="00E51367"/>
    <w:rsid w:val="00E55BA6"/>
    <w:rsid w:val="00E611C7"/>
    <w:rsid w:val="00E6777B"/>
    <w:rsid w:val="00E7073B"/>
    <w:rsid w:val="00E7171D"/>
    <w:rsid w:val="00E7370C"/>
    <w:rsid w:val="00E76F1C"/>
    <w:rsid w:val="00EA2C14"/>
    <w:rsid w:val="00EA6F3B"/>
    <w:rsid w:val="00EB0218"/>
    <w:rsid w:val="00EB0F5E"/>
    <w:rsid w:val="00EB2EAF"/>
    <w:rsid w:val="00EB37A4"/>
    <w:rsid w:val="00EC01AA"/>
    <w:rsid w:val="00EC0C6F"/>
    <w:rsid w:val="00ED3FFF"/>
    <w:rsid w:val="00ED4ADD"/>
    <w:rsid w:val="00EE03B6"/>
    <w:rsid w:val="00EE49D4"/>
    <w:rsid w:val="00F117F5"/>
    <w:rsid w:val="00F13E55"/>
    <w:rsid w:val="00F179EF"/>
    <w:rsid w:val="00F22940"/>
    <w:rsid w:val="00F24DB9"/>
    <w:rsid w:val="00F25590"/>
    <w:rsid w:val="00F52DBE"/>
    <w:rsid w:val="00F5668C"/>
    <w:rsid w:val="00F6087C"/>
    <w:rsid w:val="00F7112E"/>
    <w:rsid w:val="00F91168"/>
    <w:rsid w:val="00FA3A83"/>
    <w:rsid w:val="00FB4159"/>
    <w:rsid w:val="00FD10FD"/>
    <w:rsid w:val="00FD3FD4"/>
    <w:rsid w:val="00FE0B82"/>
    <w:rsid w:val="00FE486C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3B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70AD"/>
    <w:pPr>
      <w:keepNext/>
      <w:widowControl w:val="0"/>
      <w:ind w:firstLine="720"/>
      <w:outlineLvl w:val="0"/>
    </w:pPr>
    <w:rPr>
      <w:rFonts w:ascii="Times New Roman" w:hAnsi="Times New Roman"/>
      <w:b/>
      <w:snapToGrid w:val="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TML">
    <w:name w:val="HTML"/>
    <w:aliases w:val="ht"/>
    <w:basedOn w:val="Normal"/>
    <w:rsid w:val="00A970AD"/>
    <w:pPr>
      <w:spacing w:after="220" w:line="260" w:lineRule="atLeast"/>
      <w:ind w:right="640"/>
    </w:pPr>
    <w:rPr>
      <w:rFonts w:ascii="Times" w:hAnsi="Times"/>
      <w:vanish/>
      <w:szCs w:val="20"/>
      <w:lang w:val="en-US" w:eastAsia="en-US"/>
    </w:rPr>
  </w:style>
  <w:style w:type="paragraph" w:styleId="Header">
    <w:name w:val="header"/>
    <w:basedOn w:val="Normal"/>
    <w:link w:val="HeaderChar"/>
    <w:rsid w:val="00C86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6A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0A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773"/>
    <w:pPr>
      <w:ind w:left="720"/>
      <w:contextualSpacing/>
    </w:pPr>
    <w:rPr>
      <w:rFonts w:cs="Arial"/>
    </w:rPr>
  </w:style>
  <w:style w:type="paragraph" w:styleId="NormalWeb">
    <w:name w:val="Normal (Web)"/>
    <w:basedOn w:val="Normal"/>
    <w:uiPriority w:val="99"/>
    <w:unhideWhenUsed/>
    <w:rsid w:val="002A54D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adrab</dc:creator>
  <cp:keywords/>
  <dc:description/>
  <cp:lastModifiedBy>Administrator</cp:lastModifiedBy>
  <cp:revision>3</cp:revision>
  <cp:lastPrinted>2010-11-01T16:52:00Z</cp:lastPrinted>
  <dcterms:created xsi:type="dcterms:W3CDTF">2010-11-02T09:45:00Z</dcterms:created>
  <dcterms:modified xsi:type="dcterms:W3CDTF">2010-11-02T09:46:00Z</dcterms:modified>
</cp:coreProperties>
</file>